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3E" w:rsidRDefault="0004703E" w:rsidP="0004703E">
      <w:pPr>
        <w:pStyle w:val="lfej"/>
        <w:shd w:val="pct15" w:color="auto" w:fill="auto"/>
        <w:jc w:val="center"/>
        <w:rPr>
          <w:rFonts w:ascii="Clarendon" w:hAnsi="Clarendon"/>
          <w:b/>
          <w:sz w:val="32"/>
        </w:rPr>
      </w:pPr>
      <w:r>
        <w:rPr>
          <w:rFonts w:ascii="Clarendon" w:hAnsi="Clarendon"/>
          <w:b/>
          <w:sz w:val="32"/>
        </w:rPr>
        <w:t>Budapesti Békéltető Testület</w:t>
      </w:r>
    </w:p>
    <w:p w:rsidR="0004703E" w:rsidRPr="0060618B" w:rsidRDefault="0004703E" w:rsidP="0004703E">
      <w:pPr>
        <w:pStyle w:val="lfej"/>
        <w:jc w:val="center"/>
        <w:rPr>
          <w:i/>
        </w:rPr>
      </w:pPr>
      <w:r w:rsidRPr="0060618B">
        <w:rPr>
          <w:i/>
        </w:rPr>
        <w:t>1016 Budapest, Krisztina krt.99.</w:t>
      </w:r>
    </w:p>
    <w:p w:rsidR="0004703E" w:rsidRPr="0060618B" w:rsidRDefault="0004703E" w:rsidP="0004703E">
      <w:pPr>
        <w:pStyle w:val="lfej"/>
        <w:jc w:val="center"/>
        <w:rPr>
          <w:i/>
        </w:rPr>
      </w:pPr>
      <w:r w:rsidRPr="0060618B">
        <w:rPr>
          <w:i/>
        </w:rPr>
        <w:t xml:space="preserve"> Levelezési cím:1253 Budapest, Pf.10</w:t>
      </w:r>
    </w:p>
    <w:p w:rsidR="0004703E" w:rsidRPr="0060618B" w:rsidRDefault="0004703E" w:rsidP="0004703E">
      <w:pPr>
        <w:pStyle w:val="lfej"/>
        <w:jc w:val="center"/>
        <w:rPr>
          <w:i/>
        </w:rPr>
      </w:pPr>
      <w:r w:rsidRPr="0060618B">
        <w:rPr>
          <w:i/>
        </w:rPr>
        <w:t xml:space="preserve">Telefon:488-2131 Fax:488-2186 </w:t>
      </w:r>
    </w:p>
    <w:p w:rsidR="0004703E" w:rsidRPr="0060618B" w:rsidRDefault="0004703E" w:rsidP="0004703E">
      <w:pPr>
        <w:pStyle w:val="lfej"/>
        <w:tabs>
          <w:tab w:val="left" w:pos="2410"/>
        </w:tabs>
        <w:jc w:val="center"/>
        <w:rPr>
          <w:i/>
        </w:rPr>
      </w:pPr>
      <w:r w:rsidRPr="0060618B">
        <w:rPr>
          <w:i/>
        </w:rPr>
        <w:t>e-mail cím:bekelteto.testulet@bkik.hu</w:t>
      </w:r>
    </w:p>
    <w:p w:rsidR="0004703E" w:rsidRDefault="008676B1" w:rsidP="0004703E">
      <w:pPr>
        <w:pStyle w:val="lfej"/>
        <w:rPr>
          <w:i/>
        </w:rPr>
      </w:pPr>
      <w:r w:rsidRPr="008676B1">
        <w:rPr>
          <w:noProof/>
          <w:lang w:eastAsia="hu-HU"/>
        </w:rPr>
        <w:pict>
          <v:line id="Line 2" o:spid="_x0000_s1026" style="position:absolute;z-index:251657728;visibility:visible" from="-3.75pt,7.95pt" to="485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rpGQIAADU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" strokeweight=".26mm">
            <v:stroke joinstyle="miter"/>
          </v:line>
        </w:pict>
      </w:r>
    </w:p>
    <w:p w:rsidR="0004703E" w:rsidRPr="0005733B" w:rsidRDefault="0004703E" w:rsidP="0004703E">
      <w:pPr>
        <w:jc w:val="both"/>
        <w:rPr>
          <w:b/>
        </w:rPr>
      </w:pPr>
      <w:r>
        <w:rPr>
          <w:b/>
        </w:rPr>
        <w:t>BBT/</w:t>
      </w:r>
      <w:r w:rsidR="00F33226">
        <w:rPr>
          <w:b/>
        </w:rPr>
        <w:t>1312</w:t>
      </w:r>
      <w:r>
        <w:rPr>
          <w:b/>
        </w:rPr>
        <w:t>/</w:t>
      </w:r>
      <w:r w:rsidRPr="0005733B">
        <w:rPr>
          <w:b/>
        </w:rPr>
        <w:t>201</w:t>
      </w:r>
      <w:r>
        <w:rPr>
          <w:b/>
        </w:rPr>
        <w:t>4</w:t>
      </w:r>
    </w:p>
    <w:p w:rsidR="0004703E" w:rsidRPr="0005733B" w:rsidRDefault="0004703E" w:rsidP="0004703E">
      <w:pPr>
        <w:jc w:val="both"/>
        <w:rPr>
          <w:b/>
        </w:rPr>
      </w:pPr>
    </w:p>
    <w:p w:rsidR="0004703E" w:rsidRDefault="0004703E" w:rsidP="0004703E">
      <w:pPr>
        <w:jc w:val="both"/>
      </w:pPr>
      <w:r w:rsidRPr="0005733B">
        <w:t>Budapesti Békéltető Testület előtt</w:t>
      </w:r>
      <w:r>
        <w:t xml:space="preserve"> fenti</w:t>
      </w:r>
      <w:r w:rsidRPr="0005733B">
        <w:t xml:space="preserve"> számon </w:t>
      </w:r>
      <w:r>
        <w:t>fogyasztó kérelmér</w:t>
      </w:r>
      <w:r w:rsidRPr="0005733B">
        <w:t xml:space="preserve">e </w:t>
      </w:r>
      <w:r>
        <w:t xml:space="preserve">a </w:t>
      </w:r>
      <w:r w:rsidR="00F33226">
        <w:rPr>
          <w:b/>
        </w:rPr>
        <w:t>KIKA Lakberendezési Kft</w:t>
      </w:r>
      <w:r w:rsidR="00DB73C7">
        <w:rPr>
          <w:b/>
        </w:rPr>
        <w:t>.</w:t>
      </w:r>
      <w:r>
        <w:rPr>
          <w:b/>
        </w:rPr>
        <w:t xml:space="preserve"> </w:t>
      </w:r>
      <w:r w:rsidRPr="005C6641">
        <w:t>(</w:t>
      </w:r>
      <w:r w:rsidR="00F33226">
        <w:t>1135 Budapest, Lehel u. 51.</w:t>
      </w:r>
      <w:r>
        <w:t>) vállalkozássa</w:t>
      </w:r>
      <w:r w:rsidRPr="0005733B">
        <w:t xml:space="preserve">l szembeni ügyben a fogyasztói jogvita eldöntése érdekében az eljáró tanács alulírott napon a következő </w:t>
      </w:r>
    </w:p>
    <w:p w:rsidR="0004703E" w:rsidRPr="00FD6DF2" w:rsidRDefault="0004703E" w:rsidP="0004703E">
      <w:pPr>
        <w:jc w:val="both"/>
        <w:rPr>
          <w:b/>
        </w:rPr>
      </w:pPr>
    </w:p>
    <w:p w:rsidR="0004703E" w:rsidRPr="0005733B" w:rsidRDefault="0004703E" w:rsidP="0004703E">
      <w:pPr>
        <w:jc w:val="center"/>
        <w:rPr>
          <w:b/>
          <w:color w:val="000000"/>
        </w:rPr>
      </w:pPr>
      <w:r w:rsidRPr="0005733B">
        <w:rPr>
          <w:b/>
          <w:color w:val="000000"/>
        </w:rPr>
        <w:t>A J Á N L Á S T</w:t>
      </w:r>
    </w:p>
    <w:p w:rsidR="0004703E" w:rsidRPr="0005733B" w:rsidRDefault="0004703E" w:rsidP="0004703E">
      <w:pPr>
        <w:rPr>
          <w:color w:val="000000"/>
        </w:rPr>
      </w:pPr>
      <w:r w:rsidRPr="0005733B">
        <w:rPr>
          <w:color w:val="000000"/>
        </w:rPr>
        <w:t>teszi:</w:t>
      </w:r>
    </w:p>
    <w:p w:rsidR="0004703E" w:rsidRPr="0005733B" w:rsidRDefault="0004703E" w:rsidP="0004703E">
      <w:pPr>
        <w:pStyle w:val="Szvegtrzs"/>
        <w:spacing w:line="240" w:lineRule="auto"/>
        <w:rPr>
          <w:rFonts w:ascii="Times New Roman" w:hAnsi="Times New Roman" w:cs="Times New Roman"/>
        </w:rPr>
      </w:pPr>
    </w:p>
    <w:p w:rsidR="0004703E" w:rsidRDefault="0004703E" w:rsidP="0004703E">
      <w:pPr>
        <w:pStyle w:val="Szvegtrzs"/>
        <w:spacing w:line="240" w:lineRule="auto"/>
        <w:rPr>
          <w:rFonts w:ascii="Times New Roman" w:hAnsi="Times New Roman" w:cs="Times New Roman"/>
        </w:rPr>
      </w:pPr>
      <w:r w:rsidRPr="0005733B">
        <w:rPr>
          <w:rFonts w:ascii="Times New Roman" w:hAnsi="Times New Roman" w:cs="Times New Roman"/>
        </w:rPr>
        <w:t>A vállalkozás az írásba foglalt ajánlás kézhezvételét követő</w:t>
      </w:r>
      <w:r>
        <w:rPr>
          <w:rFonts w:ascii="Times New Roman" w:hAnsi="Times New Roman" w:cs="Times New Roman"/>
        </w:rPr>
        <w:t xml:space="preserve"> 15 napon belül</w:t>
      </w:r>
      <w:r w:rsidR="00800E6D">
        <w:rPr>
          <w:rFonts w:ascii="Times New Roman" w:hAnsi="Times New Roman" w:cs="Times New Roman"/>
        </w:rPr>
        <w:t xml:space="preserve"> javítsa meg </w:t>
      </w:r>
      <w:r w:rsidR="00C83B11">
        <w:rPr>
          <w:rFonts w:ascii="Times New Roman" w:hAnsi="Times New Roman" w:cs="Times New Roman"/>
        </w:rPr>
        <w:t>ismételten a 2835 típusszámú 3+2 bőr ülőgarnitúrát</w:t>
      </w:r>
      <w:r w:rsidR="00800E6D" w:rsidRPr="00800E6D">
        <w:rPr>
          <w:rFonts w:ascii="Times New Roman" w:hAnsi="Times New Roman" w:cs="Times New Roman"/>
        </w:rPr>
        <w:t>, ha 15 napon belül erre nem képes</w:t>
      </w:r>
      <w:r w:rsidR="00CD3C9B">
        <w:rPr>
          <w:rFonts w:ascii="Times New Roman" w:hAnsi="Times New Roman" w:cs="Times New Roman"/>
        </w:rPr>
        <w:t>,</w:t>
      </w:r>
      <w:r w:rsidR="00800E6D" w:rsidRPr="00800E6D">
        <w:rPr>
          <w:rFonts w:ascii="Times New Roman" w:hAnsi="Times New Roman" w:cs="Times New Roman"/>
        </w:rPr>
        <w:t xml:space="preserve"> cserélje ki, vagy </w:t>
      </w:r>
      <w:r>
        <w:rPr>
          <w:rFonts w:ascii="Times New Roman" w:hAnsi="Times New Roman" w:cs="Times New Roman"/>
        </w:rPr>
        <w:t>fizesse meg fogyasztó részére a</w:t>
      </w:r>
      <w:r w:rsidR="00C83B11">
        <w:rPr>
          <w:rFonts w:ascii="Times New Roman" w:hAnsi="Times New Roman" w:cs="Times New Roman"/>
        </w:rPr>
        <w:t>nnak vételárát, 299.900</w:t>
      </w:r>
      <w:r>
        <w:rPr>
          <w:rFonts w:ascii="Times New Roman" w:hAnsi="Times New Roman" w:cs="Times New Roman"/>
        </w:rPr>
        <w:t>-F</w:t>
      </w:r>
      <w:r w:rsidR="00C83B11">
        <w:rPr>
          <w:rFonts w:ascii="Times New Roman" w:hAnsi="Times New Roman" w:cs="Times New Roman"/>
        </w:rPr>
        <w:t>t-ot azaz kettőszázkilencvenkilencezer forint</w:t>
      </w:r>
      <w:r w:rsidR="009D04BB">
        <w:rPr>
          <w:rFonts w:ascii="Times New Roman" w:hAnsi="Times New Roman" w:cs="Times New Roman"/>
        </w:rPr>
        <w:t>ot</w:t>
      </w:r>
      <w:r>
        <w:rPr>
          <w:rFonts w:ascii="Times New Roman" w:hAnsi="Times New Roman" w:cs="Times New Roman"/>
        </w:rPr>
        <w:t xml:space="preserve">. </w:t>
      </w:r>
    </w:p>
    <w:p w:rsidR="0004703E" w:rsidRDefault="0004703E" w:rsidP="0004703E">
      <w:pPr>
        <w:jc w:val="center"/>
        <w:rPr>
          <w:b/>
        </w:rPr>
      </w:pPr>
    </w:p>
    <w:p w:rsidR="0004703E" w:rsidRDefault="0004703E" w:rsidP="0004703E">
      <w:pPr>
        <w:autoSpaceDE w:val="0"/>
        <w:jc w:val="both"/>
        <w:rPr>
          <w:color w:val="000000"/>
        </w:rPr>
      </w:pPr>
      <w:r w:rsidRPr="0005733B">
        <w:rPr>
          <w:color w:val="000000"/>
        </w:rPr>
        <w:t>A tanács ajánlása ellen fellebbezésnek nincs helye, annak hatályon kívül helyezése - jogszabályban meghatározott esetekben kérhető a</w:t>
      </w:r>
      <w:r>
        <w:rPr>
          <w:color w:val="000000"/>
        </w:rPr>
        <w:t xml:space="preserve"> Fővárosi Törvényszéktől</w:t>
      </w:r>
      <w:r w:rsidRPr="0005733B">
        <w:rPr>
          <w:color w:val="000000"/>
        </w:rPr>
        <w:t>.</w:t>
      </w:r>
    </w:p>
    <w:p w:rsidR="0004703E" w:rsidRPr="0005733B" w:rsidRDefault="0004703E" w:rsidP="0004703E">
      <w:pPr>
        <w:autoSpaceDE w:val="0"/>
        <w:jc w:val="both"/>
        <w:rPr>
          <w:color w:val="000000"/>
        </w:rPr>
      </w:pPr>
      <w:r w:rsidRPr="0005733B">
        <w:rPr>
          <w:color w:val="000000"/>
        </w:rPr>
        <w:t xml:space="preserve"> </w:t>
      </w:r>
    </w:p>
    <w:p w:rsidR="0004703E" w:rsidRPr="00DB73C7" w:rsidRDefault="0004703E" w:rsidP="0004703E">
      <w:pPr>
        <w:pStyle w:val="Cmsor1"/>
        <w:spacing w:line="240" w:lineRule="auto"/>
        <w:rPr>
          <w:rFonts w:ascii="Times New Roman" w:hAnsi="Times New Roman" w:cs="Times New Roman"/>
          <w:i w:val="0"/>
          <w:color w:val="000000"/>
        </w:rPr>
      </w:pPr>
      <w:r w:rsidRPr="00DB73C7">
        <w:rPr>
          <w:rFonts w:ascii="Times New Roman" w:hAnsi="Times New Roman" w:cs="Times New Roman"/>
          <w:i w:val="0"/>
          <w:color w:val="000000"/>
        </w:rPr>
        <w:t>INDOKOLÁS</w:t>
      </w:r>
    </w:p>
    <w:p w:rsidR="0004703E" w:rsidRPr="0005733B" w:rsidRDefault="0004703E" w:rsidP="0004703E"/>
    <w:p w:rsidR="00C83B11" w:rsidRDefault="0004703E" w:rsidP="0004703E">
      <w:pPr>
        <w:jc w:val="both"/>
        <w:rPr>
          <w:color w:val="000000"/>
        </w:rPr>
      </w:pPr>
      <w:r w:rsidRPr="0005733B">
        <w:rPr>
          <w:color w:val="000000"/>
        </w:rPr>
        <w:t>A fogyasztó kérelme szerint</w:t>
      </w:r>
      <w:r w:rsidR="00C83B11">
        <w:rPr>
          <w:color w:val="000000"/>
        </w:rPr>
        <w:t xml:space="preserve"> 2013</w:t>
      </w:r>
      <w:r>
        <w:rPr>
          <w:color w:val="000000"/>
        </w:rPr>
        <w:t>.</w:t>
      </w:r>
      <w:r w:rsidR="00C83B11">
        <w:rPr>
          <w:color w:val="000000"/>
        </w:rPr>
        <w:t>12.05</w:t>
      </w:r>
      <w:r>
        <w:rPr>
          <w:color w:val="000000"/>
        </w:rPr>
        <w:t xml:space="preserve">-én vásárolt egy </w:t>
      </w:r>
      <w:r w:rsidR="00C83B11">
        <w:rPr>
          <w:color w:val="000000"/>
        </w:rPr>
        <w:t>2835 típusszámú 3+2 részből álló bőr ülőgarnitúrát 299.900 Ft-ért a vállalkozás Róbert Károly krt.-i áruházában.</w:t>
      </w:r>
      <w:r w:rsidR="0005078A">
        <w:rPr>
          <w:color w:val="000000"/>
        </w:rPr>
        <w:t xml:space="preserve"> Másfél</w:t>
      </w:r>
      <w:r w:rsidR="009D04BB" w:rsidRPr="009D04BB">
        <w:rPr>
          <w:color w:val="C00000"/>
        </w:rPr>
        <w:t>,</w:t>
      </w:r>
      <w:r w:rsidR="0005078A">
        <w:rPr>
          <w:color w:val="000000"/>
        </w:rPr>
        <w:t xml:space="preserve"> 2 hónap használat után a bőrkárpit megkopott, ezt jelez</w:t>
      </w:r>
      <w:r w:rsidR="0005078A" w:rsidRPr="004D5310">
        <w:t>t</w:t>
      </w:r>
      <w:r w:rsidR="009D04BB" w:rsidRPr="004D5310">
        <w:t>e</w:t>
      </w:r>
      <w:r w:rsidR="0005078A">
        <w:rPr>
          <w:color w:val="000000"/>
        </w:rPr>
        <w:t>, elvitték javításra, de a visszaszállított termék sem volt megfelelő. Ezen panas</w:t>
      </w:r>
      <w:r w:rsidR="0005078A" w:rsidRPr="004D5310">
        <w:t>z</w:t>
      </w:r>
      <w:r w:rsidR="009D04BB" w:rsidRPr="004D5310">
        <w:t>á</w:t>
      </w:r>
      <w:r w:rsidR="0005078A" w:rsidRPr="004D5310">
        <w:t>ra</w:t>
      </w:r>
      <w:r w:rsidR="0005078A">
        <w:rPr>
          <w:color w:val="000000"/>
        </w:rPr>
        <w:t xml:space="preserve"> az ülőgarnitúrát kicserélték, de az új terméken is jelentkeztek ugyanazok a hibák. Pan</w:t>
      </w:r>
      <w:r w:rsidR="0005078A" w:rsidRPr="004D5310">
        <w:t>asz</w:t>
      </w:r>
      <w:r w:rsidR="009D04BB" w:rsidRPr="004D5310">
        <w:t>á</w:t>
      </w:r>
      <w:r w:rsidR="0005078A" w:rsidRPr="004D5310">
        <w:t>t</w:t>
      </w:r>
      <w:r w:rsidR="0005078A">
        <w:rPr>
          <w:color w:val="000000"/>
        </w:rPr>
        <w:t xml:space="preserve"> elutasították azzal, hogy ez egy kínai termék, nem megfelelő konstrukció, de további javítást vagy cserét nem ajánlottak fel.</w:t>
      </w:r>
    </w:p>
    <w:p w:rsidR="0004703E" w:rsidRDefault="0004703E" w:rsidP="0004703E">
      <w:pPr>
        <w:jc w:val="both"/>
        <w:rPr>
          <w:color w:val="000000"/>
        </w:rPr>
      </w:pPr>
      <w:r>
        <w:rPr>
          <w:color w:val="000000"/>
        </w:rPr>
        <w:t>Csatolta a számlát, a jótállási jegyet,</w:t>
      </w:r>
      <w:r w:rsidR="002E4C14">
        <w:rPr>
          <w:color w:val="000000"/>
        </w:rPr>
        <w:t xml:space="preserve"> </w:t>
      </w:r>
      <w:r w:rsidR="00C83B11">
        <w:rPr>
          <w:color w:val="000000"/>
        </w:rPr>
        <w:t>levelezést, szerviz álláspontját tartalmazó jegyzőkönyvet.</w:t>
      </w:r>
    </w:p>
    <w:p w:rsidR="0004703E" w:rsidRPr="0005733B" w:rsidRDefault="0004703E" w:rsidP="0004703E">
      <w:pPr>
        <w:jc w:val="both"/>
        <w:rPr>
          <w:color w:val="000000"/>
        </w:rPr>
      </w:pPr>
    </w:p>
    <w:p w:rsidR="0021194A" w:rsidRPr="009D04BB" w:rsidRDefault="0021194A" w:rsidP="0021194A">
      <w:pPr>
        <w:tabs>
          <w:tab w:val="left" w:pos="6096"/>
        </w:tabs>
        <w:jc w:val="both"/>
        <w:rPr>
          <w:strike/>
        </w:rPr>
      </w:pPr>
      <w:r>
        <w:t xml:space="preserve">A meghallgatás 2015.06-03-án 15.00 órai időpontjáról feleket az elnök a Fgytv. 29. §-ban foglaltaknak megfelelően értesítette. </w:t>
      </w:r>
    </w:p>
    <w:p w:rsidR="0021194A" w:rsidRDefault="0021194A" w:rsidP="0021194A">
      <w:pPr>
        <w:jc w:val="both"/>
      </w:pPr>
    </w:p>
    <w:p w:rsidR="0021194A" w:rsidRDefault="0021194A" w:rsidP="0021194A">
      <w:pPr>
        <w:jc w:val="both"/>
      </w:pPr>
      <w:r>
        <w:t>Az értesítésben a békéltető testület elnöke a vállalkozást felszólította, hogy az értesítés részére történt kézbesítésétől számított nyolc napon belül írásban nyilatkozz</w:t>
      </w:r>
      <w:r w:rsidR="009D04BB">
        <w:t>on</w:t>
      </w:r>
      <w:r>
        <w:t xml:space="preserve"> (válaszirat) a fogyasztó igényének jogosságát és az ügy körülményeit illetően, nyilatkozatában jelölje meg az állításait alátámasztó tényeket és azok bizonyítékait, illetve csatolja azokat az okiratokat (ezek másolatát), amelyek tartalmára bizonyítékként hivatkozik. Figyelmeztette a vállalkozást, hogy az ügy érdemére vonatkozó nyilatkozattételének elmaradása esetén a tanács a rendelkezésére álló adatok alapján határoz. </w:t>
      </w:r>
    </w:p>
    <w:p w:rsidR="0021194A" w:rsidRDefault="0021194A" w:rsidP="0021194A">
      <w:pPr>
        <w:jc w:val="both"/>
      </w:pPr>
    </w:p>
    <w:p w:rsidR="0021194A" w:rsidRDefault="0021194A" w:rsidP="0021194A">
      <w:pPr>
        <w:jc w:val="both"/>
      </w:pPr>
      <w:r>
        <w:t xml:space="preserve">A meghallgatáson a fogyasztó és a vállalkozás képviselője is megjelent, az eljáró tanács tagjaival (Dr. Karácsony Gabriella, Dietz Gusztávné dr., Lednyiczky Zsigmond) szemben kifogást, kizárási indítványt nem terjesztettek elő. </w:t>
      </w:r>
    </w:p>
    <w:p w:rsidR="0004703E" w:rsidRDefault="0004703E" w:rsidP="0004703E">
      <w:pPr>
        <w:jc w:val="both"/>
        <w:rPr>
          <w:color w:val="000000"/>
        </w:rPr>
      </w:pPr>
    </w:p>
    <w:p w:rsidR="00FB297D" w:rsidRDefault="0004703E" w:rsidP="0004703E">
      <w:pPr>
        <w:jc w:val="both"/>
        <w:rPr>
          <w:color w:val="000000"/>
        </w:rPr>
      </w:pPr>
      <w:r>
        <w:rPr>
          <w:color w:val="000000"/>
        </w:rPr>
        <w:t>A v</w:t>
      </w:r>
      <w:r w:rsidRPr="006D2CB2">
        <w:rPr>
          <w:color w:val="000000"/>
        </w:rPr>
        <w:t>állalkozás</w:t>
      </w:r>
      <w:r>
        <w:rPr>
          <w:color w:val="000000"/>
        </w:rPr>
        <w:t xml:space="preserve"> </w:t>
      </w:r>
      <w:r w:rsidRPr="004D5310">
        <w:t>a</w:t>
      </w:r>
      <w:r w:rsidR="00BA5998" w:rsidRPr="004D5310">
        <w:t>z értesítést</w:t>
      </w:r>
      <w:r w:rsidRPr="004D5310">
        <w:t xml:space="preserve"> átvette, és válasziratot küldött. A válasziratban arra hivatkoz</w:t>
      </w:r>
      <w:r w:rsidR="009D04BB" w:rsidRPr="004D5310">
        <w:t>ott</w:t>
      </w:r>
      <w:r w:rsidR="004D5310" w:rsidRPr="004D5310">
        <w:rPr>
          <w:strike/>
        </w:rPr>
        <w:t>,</w:t>
      </w:r>
      <w:r w:rsidRPr="004D5310">
        <w:t xml:space="preserve"> hogy </w:t>
      </w:r>
      <w:r w:rsidR="00FB297D" w:rsidRPr="004D5310">
        <w:t>2014.</w:t>
      </w:r>
      <w:bookmarkStart w:id="0" w:name="_GoBack"/>
      <w:bookmarkEnd w:id="0"/>
      <w:r w:rsidR="00FB297D" w:rsidRPr="004D5310">
        <w:t xml:space="preserve"> augusztusában a zsákrugókat kicserélték, a háttámlákat alátámasztották. Ezt követően ismételten bejelentették a hibát, a </w:t>
      </w:r>
      <w:r w:rsidR="00DB73C7" w:rsidRPr="004D5310">
        <w:t>szakszerviz</w:t>
      </w:r>
      <w:r w:rsidR="00FB297D" w:rsidRPr="004D5310">
        <w:t xml:space="preserve"> helyszíni szakvéleményt készített, miszerint „nincs olyan hiba, amire a </w:t>
      </w:r>
      <w:r w:rsidR="009D04BB" w:rsidRPr="004D5310">
        <w:t xml:space="preserve">vállalkozásnak </w:t>
      </w:r>
      <w:r w:rsidR="00FB297D" w:rsidRPr="004D5310">
        <w:t>jótállási</w:t>
      </w:r>
      <w:r w:rsidR="00FB297D">
        <w:rPr>
          <w:color w:val="000000"/>
        </w:rPr>
        <w:t>, szavatossági kötelezettsége állna fenn.”</w:t>
      </w:r>
    </w:p>
    <w:p w:rsidR="0004703E" w:rsidRDefault="0004703E" w:rsidP="0004703E">
      <w:pPr>
        <w:jc w:val="both"/>
        <w:rPr>
          <w:color w:val="000000"/>
        </w:rPr>
      </w:pPr>
      <w:r>
        <w:rPr>
          <w:color w:val="000000"/>
        </w:rPr>
        <w:lastRenderedPageBreak/>
        <w:t>A válaszirat alávetési nyilatkozatot nem tartalmazott.</w:t>
      </w:r>
      <w:r w:rsidR="00FB297D">
        <w:rPr>
          <w:color w:val="000000"/>
        </w:rPr>
        <w:t xml:space="preserve"> A válaszirat fogyasztó részére a meghallgatáson átadásra került.</w:t>
      </w:r>
    </w:p>
    <w:p w:rsidR="0004703E" w:rsidRDefault="0004703E" w:rsidP="0004703E">
      <w:pPr>
        <w:jc w:val="both"/>
        <w:rPr>
          <w:color w:val="000000"/>
        </w:rPr>
      </w:pPr>
    </w:p>
    <w:p w:rsidR="0004703E" w:rsidRPr="00BD7F93" w:rsidRDefault="0004703E" w:rsidP="0004703E">
      <w:pPr>
        <w:tabs>
          <w:tab w:val="left" w:pos="6804"/>
        </w:tabs>
        <w:jc w:val="both"/>
      </w:pPr>
      <w:r w:rsidRPr="0060216D">
        <w:t>Az eljáró tanács a becsatolt iratok, a fogyasztó meghallgatása alapján megalapozottnak találta a fogyasztó kérelmét az alábbiak szerint.</w:t>
      </w:r>
      <w:r w:rsidRPr="00BD7F93">
        <w:t xml:space="preserve"> </w:t>
      </w:r>
    </w:p>
    <w:p w:rsidR="0004703E" w:rsidRDefault="0004703E" w:rsidP="0004703E">
      <w:pPr>
        <w:jc w:val="both"/>
      </w:pPr>
      <w:bookmarkStart w:id="1" w:name="pr21"/>
    </w:p>
    <w:p w:rsidR="0004703E" w:rsidRPr="0048438D" w:rsidRDefault="0004703E" w:rsidP="0004703E">
      <w:pPr>
        <w:jc w:val="both"/>
      </w:pPr>
      <w:r w:rsidRPr="0048438D">
        <w:t xml:space="preserve">A </w:t>
      </w:r>
      <w:r w:rsidR="009D04BB" w:rsidRPr="004D5310">
        <w:t>jog</w:t>
      </w:r>
      <w:r w:rsidR="004D5310">
        <w:t xml:space="preserve">viszony létrejöttekor </w:t>
      </w:r>
      <w:r w:rsidR="009D04BB" w:rsidRPr="004D5310">
        <w:t xml:space="preserve">hatályos </w:t>
      </w:r>
      <w:r w:rsidRPr="0048438D">
        <w:t xml:space="preserve">Ptk. </w:t>
      </w:r>
      <w:bookmarkStart w:id="2" w:name="pr1011"/>
      <w:r>
        <w:t>277. § (1) szerint: „</w:t>
      </w:r>
      <w:r w:rsidRPr="0048438D">
        <w:t>A szerződéseket tartalmuknak megfelelően, a megszabott helyen és időben, a megállapított mennyiség, minőség és választék szerint kell teljesíteni. A szolgáltatásnak a teljesítés időpontjában</w:t>
      </w:r>
      <w:bookmarkEnd w:id="2"/>
    </w:p>
    <w:p w:rsidR="0004703E" w:rsidRPr="0048438D" w:rsidRDefault="0004703E" w:rsidP="0004703E">
      <w:pPr>
        <w:jc w:val="both"/>
      </w:pPr>
      <w:bookmarkStart w:id="3" w:name="pr1012"/>
      <w:r w:rsidRPr="0048438D">
        <w:rPr>
          <w:iCs/>
        </w:rPr>
        <w:t xml:space="preserve">a) </w:t>
      </w:r>
      <w:r w:rsidRPr="0048438D">
        <w:t>alkalmasnak kell lennie azokra a célokra, amelyekre más, azonos fajtájú szolgáltatásokat rendszerint használnak, és</w:t>
      </w:r>
      <w:bookmarkEnd w:id="3"/>
    </w:p>
    <w:p w:rsidR="0004703E" w:rsidRPr="0048438D" w:rsidRDefault="0004703E" w:rsidP="0004703E">
      <w:pPr>
        <w:jc w:val="both"/>
      </w:pPr>
      <w:bookmarkStart w:id="4" w:name="pr1013"/>
      <w:r w:rsidRPr="0048438D">
        <w:rPr>
          <w:iCs/>
        </w:rPr>
        <w:t xml:space="preserve">b) </w:t>
      </w:r>
      <w:r w:rsidRPr="0048438D">
        <w:t>rendelkeznie kell azzal a minőséggel, illetve nyújtania kell azt a teljesítményt, amely azonos fajtájú szolgáltatásoknál szokásos, és amelyet a jogosult elvárhat, figyelembe véve a szolgáltatás természetét, valamint a kötelezettnek, a gyártónak, az importálónak vagy ezek képviselőjének a szolgáltatás konkrét tulajdonságaira vonatkozó - különösen reklámban vagy az áru címkéjén megjelenő - nyilvános kijele</w:t>
      </w:r>
      <w:r>
        <w:t>ntését</w:t>
      </w:r>
      <w:r w:rsidRPr="0048438D">
        <w:t>…</w:t>
      </w:r>
      <w:bookmarkEnd w:id="4"/>
      <w:r w:rsidRPr="0048438D">
        <w:t>”</w:t>
      </w:r>
    </w:p>
    <w:p w:rsidR="0004703E" w:rsidRDefault="0004703E" w:rsidP="0004703E">
      <w:pPr>
        <w:jc w:val="both"/>
      </w:pPr>
      <w:bookmarkStart w:id="5" w:name="pr1123"/>
      <w:r w:rsidRPr="0048438D">
        <w:t>A Ptk 305. §</w:t>
      </w:r>
      <w:r w:rsidRPr="0048438D">
        <w:rPr>
          <w:b/>
        </w:rPr>
        <w:t xml:space="preserve"> </w:t>
      </w:r>
      <w:r w:rsidRPr="0048438D">
        <w:t>(1) alapján: „Olyan szerződés alapján, amelyben a felek kölcsönös szolgáltatásokkal tartoznak, a kötelezett hibásan teljesít, ha a szolgáltatott dolog a teljesítés időpontjában nem felel meg a jogszabályban vagy a szerződésben meghatározott tulajdonságoknak.</w:t>
      </w:r>
      <w:bookmarkEnd w:id="5"/>
    </w:p>
    <w:p w:rsidR="0004703E" w:rsidRDefault="0004703E" w:rsidP="0004703E">
      <w:pPr>
        <w:jc w:val="both"/>
      </w:pPr>
    </w:p>
    <w:p w:rsidR="0004703E" w:rsidRDefault="004D5310" w:rsidP="0004703E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auto"/>
          <w:lang w:eastAsia="ar-SA"/>
        </w:rPr>
      </w:pPr>
      <w:bookmarkStart w:id="6" w:name="pr1150"/>
      <w:bookmarkStart w:id="7" w:name="pr1151"/>
      <w:bookmarkEnd w:id="6"/>
      <w:bookmarkEnd w:id="7"/>
      <w:r w:rsidRPr="003D1633">
        <w:rPr>
          <w:color w:val="auto"/>
          <w:lang w:eastAsia="ar-SA"/>
        </w:rPr>
        <w:t xml:space="preserve"> </w:t>
      </w:r>
      <w:r w:rsidR="0004703E" w:rsidRPr="003D1633">
        <w:rPr>
          <w:color w:val="auto"/>
          <w:lang w:eastAsia="ar-SA"/>
        </w:rPr>
        <w:t>(3) A kötelezett a hibás teljesítésért felelősséggel tartozik (kellékszavatosság).</w:t>
      </w:r>
    </w:p>
    <w:p w:rsidR="009D04BB" w:rsidRPr="003D1633" w:rsidRDefault="009D04BB" w:rsidP="0004703E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auto"/>
          <w:lang w:eastAsia="ar-SA"/>
        </w:rPr>
      </w:pPr>
    </w:p>
    <w:p w:rsidR="0004703E" w:rsidRPr="003D1633" w:rsidRDefault="0004703E" w:rsidP="009D04BB">
      <w:pPr>
        <w:pStyle w:val="NormlWeb"/>
        <w:spacing w:before="0" w:beforeAutospacing="0" w:after="0" w:afterAutospacing="0"/>
        <w:ind w:right="150"/>
        <w:jc w:val="both"/>
        <w:rPr>
          <w:color w:val="auto"/>
          <w:lang w:eastAsia="ar-SA"/>
        </w:rPr>
      </w:pPr>
      <w:bookmarkStart w:id="8" w:name="305/A"/>
      <w:bookmarkStart w:id="9" w:name="pr1152"/>
      <w:bookmarkStart w:id="10" w:name="306"/>
      <w:bookmarkStart w:id="11" w:name="pr1154"/>
      <w:bookmarkEnd w:id="8"/>
      <w:bookmarkEnd w:id="9"/>
      <w:bookmarkEnd w:id="10"/>
      <w:bookmarkEnd w:id="11"/>
      <w:r w:rsidRPr="003D1633">
        <w:rPr>
          <w:color w:val="auto"/>
          <w:lang w:eastAsia="ar-SA"/>
        </w:rPr>
        <w:t>306. § (1) Hibás teljesítés esetén a jogosult</w:t>
      </w:r>
    </w:p>
    <w:p w:rsidR="0004703E" w:rsidRPr="003D1633" w:rsidRDefault="0004703E" w:rsidP="0004703E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auto"/>
          <w:lang w:eastAsia="ar-SA"/>
        </w:rPr>
      </w:pPr>
      <w:bookmarkStart w:id="12" w:name="pr1155"/>
      <w:bookmarkEnd w:id="12"/>
      <w:r w:rsidRPr="003D1633">
        <w:rPr>
          <w:color w:val="auto"/>
          <w:lang w:eastAsia="ar-SA"/>
        </w:rPr>
        <w:t>a) elsősorban - választása szerint - kijavítást vagy kicserélést követelhet, kivéve, ha a választott szavatossági igény teljesítése lehetetlen, vagy ha az a kötelezettnek a másik szavatossági igény teljesítésével összehasonlítva aránytalan többletköltséget eredményezne, figyelembe véve a szolgáltatott dolog hibátlan állapotban képviselt értékét, a szerződésszegés súlyát, és a szavatossági jog teljesítésével a jogosultnak okozott kényelmetlenséget;</w:t>
      </w:r>
    </w:p>
    <w:p w:rsidR="0004703E" w:rsidRPr="003D1633" w:rsidRDefault="0004703E" w:rsidP="0004703E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auto"/>
          <w:lang w:eastAsia="ar-SA"/>
        </w:rPr>
      </w:pPr>
      <w:bookmarkStart w:id="13" w:name="pr1156"/>
      <w:bookmarkEnd w:id="13"/>
      <w:r w:rsidRPr="003D1633">
        <w:rPr>
          <w:color w:val="auto"/>
          <w:lang w:eastAsia="ar-SA"/>
        </w:rPr>
        <w:t>b) ha sem kijavításra, sem kicserélésre nincs joga, vagy ha a kötelezett a kijavítást, illetve a kicserélést nem vállalta, vagy e kötelezettségének a (2) bekezdésben írt feltételekkel nem tud eleget tenni - választása szerint - megfelelő árleszállítást igényelhet vagy elállhat a szerződéstől. Jelentéktelen hiba miatt elállásnak nincs helye.</w:t>
      </w:r>
    </w:p>
    <w:p w:rsidR="0004703E" w:rsidRDefault="0004703E" w:rsidP="0004703E">
      <w:pPr>
        <w:jc w:val="both"/>
      </w:pPr>
    </w:p>
    <w:p w:rsidR="00FB297D" w:rsidRDefault="00FB297D" w:rsidP="00FB297D">
      <w:pPr>
        <w:jc w:val="both"/>
        <w:rPr>
          <w:color w:val="000000"/>
        </w:rPr>
      </w:pPr>
      <w:r w:rsidRPr="0005733B">
        <w:rPr>
          <w:color w:val="000000"/>
        </w:rPr>
        <w:t>A</w:t>
      </w:r>
      <w:r>
        <w:rPr>
          <w:color w:val="000000"/>
        </w:rPr>
        <w:t>z eljáró tanács a fogyasztó által bemutatott dokumentumok alapján, azt állapította meg, hogy az 1 éves jótállási időn belül jelentkezett hiba, a javítás a jótállási időt meghosszabbítja, javított részre újra kezdődik a jótállási idő, 2015.09.09-én jár majd le</w:t>
      </w:r>
      <w:r w:rsidR="00BA5998" w:rsidRPr="00BA5998">
        <w:rPr>
          <w:color w:val="C00000"/>
        </w:rPr>
        <w:t>,</w:t>
      </w:r>
      <w:r>
        <w:rPr>
          <w:color w:val="000000"/>
        </w:rPr>
        <w:t xml:space="preserve"> figyelembe véve</w:t>
      </w:r>
      <w:r w:rsidR="00C7217D">
        <w:rPr>
          <w:color w:val="000000"/>
        </w:rPr>
        <w:t>,</w:t>
      </w:r>
      <w:r>
        <w:rPr>
          <w:color w:val="000000"/>
        </w:rPr>
        <w:t xml:space="preserve"> hogy a csere 2014.09.09-én volt.</w:t>
      </w:r>
    </w:p>
    <w:p w:rsidR="00FB297D" w:rsidRDefault="00FB297D" w:rsidP="00FB297D">
      <w:pPr>
        <w:jc w:val="both"/>
        <w:rPr>
          <w:color w:val="000000"/>
        </w:rPr>
      </w:pPr>
    </w:p>
    <w:p w:rsidR="00FB297D" w:rsidRDefault="00FB297D" w:rsidP="00FB297D">
      <w:pPr>
        <w:jc w:val="both"/>
        <w:rPr>
          <w:color w:val="000000"/>
        </w:rPr>
      </w:pPr>
      <w:r>
        <w:rPr>
          <w:color w:val="000000"/>
        </w:rPr>
        <w:t>A hiba okára vonatkozó, a jótállási kötelezettség kimentésére szolgáló aggálytalan szakvéleményt vállalkozásnak kellett volna csatolnia, mely bizonyítási kötel</w:t>
      </w:r>
      <w:r w:rsidR="00DB73C7">
        <w:rPr>
          <w:color w:val="000000"/>
        </w:rPr>
        <w:t>ezettségének nem tett eleget, (</w:t>
      </w:r>
      <w:r>
        <w:rPr>
          <w:color w:val="000000"/>
        </w:rPr>
        <w:t xml:space="preserve">a </w:t>
      </w:r>
      <w:r w:rsidR="00DB73C7">
        <w:rPr>
          <w:color w:val="000000"/>
        </w:rPr>
        <w:t>szakszerviz</w:t>
      </w:r>
      <w:r>
        <w:rPr>
          <w:color w:val="000000"/>
        </w:rPr>
        <w:t xml:space="preserve"> véleménye erre nem alkalmas) és ez megalapozza fogyasztó szavatossági igényét, ezért eljáró tanács úgy ítélte meg, hogy a fogyasztó panasza megalapozott.</w:t>
      </w:r>
    </w:p>
    <w:p w:rsidR="00FB297D" w:rsidRDefault="00FB297D" w:rsidP="00FB297D">
      <w:pPr>
        <w:jc w:val="both"/>
        <w:rPr>
          <w:color w:val="000000"/>
        </w:rPr>
      </w:pPr>
      <w:r w:rsidRPr="0005733B">
        <w:rPr>
          <w:bCs/>
        </w:rPr>
        <w:t xml:space="preserve">Az eljáró tanács megjegyzi, hogy az ügy elbírálásához szükséges bizonyítékok rendelkezésre bocsátása a felek joga és kötelezettsége, a bizonyítékok hiánya vagy nem megfelelő volta kihat az eljárás eredményére </w:t>
      </w:r>
      <w:r w:rsidRPr="0005733B">
        <w:rPr>
          <w:bCs/>
          <w:iCs/>
        </w:rPr>
        <w:t>Az ügy eldöntéséhez szükséges tényeket annak a félnek kell bizonyítania, akine</w:t>
      </w:r>
      <w:r>
        <w:rPr>
          <w:bCs/>
          <w:iCs/>
        </w:rPr>
        <w:t>k érdekében áll, hogy azokat a t</w:t>
      </w:r>
      <w:r w:rsidRPr="0005733B">
        <w:rPr>
          <w:bCs/>
          <w:iCs/>
        </w:rPr>
        <w:t xml:space="preserve">anács valónak fogadja el. Jelen esetben az Fgytv. </w:t>
      </w:r>
      <w:r w:rsidRPr="0005733B">
        <w:rPr>
          <w:bCs/>
          <w:color w:val="000000"/>
        </w:rPr>
        <w:t xml:space="preserve">29. § </w:t>
      </w:r>
      <w:r w:rsidRPr="0005733B">
        <w:rPr>
          <w:color w:val="000000"/>
        </w:rPr>
        <w:t xml:space="preserve">(8) bekezdésére tekintettel a vállalkozásnak kellett volna </w:t>
      </w:r>
      <w:r>
        <w:rPr>
          <w:color w:val="000000"/>
        </w:rPr>
        <w:t>aggálytalan és kétséget kizáró bizonyítékként megfelelő és indoklással alátámasztott szakértői véleményt csatolnia arra vonatkozóan, hogy a termék nem gyártási hibás, vagy, hogy a javítás miképpen történt és az megfelelő volt. Err</w:t>
      </w:r>
      <w:r w:rsidRPr="0005733B">
        <w:rPr>
          <w:color w:val="000000"/>
        </w:rPr>
        <w:t>e egyébként a békéltető testület elnöke által kiküldött hivatalos irat is felhívta a vállalkozás figyelmét.</w:t>
      </w:r>
    </w:p>
    <w:bookmarkEnd w:id="1"/>
    <w:p w:rsidR="00FB297D" w:rsidRDefault="00FB297D" w:rsidP="001645D5">
      <w:pPr>
        <w:jc w:val="both"/>
      </w:pPr>
    </w:p>
    <w:p w:rsidR="0004703E" w:rsidRPr="00E51150" w:rsidRDefault="0004703E" w:rsidP="001645D5">
      <w:pPr>
        <w:jc w:val="both"/>
      </w:pPr>
      <w:r w:rsidRPr="00E51150">
        <w:t xml:space="preserve">Mindezek alapján az eljáró tanács – figyelembe véve fogyasztó igényét - a rendelkező részben foglaltak szerint megalapozottnak találta </w:t>
      </w:r>
      <w:r w:rsidR="00BA5998" w:rsidRPr="004D5310">
        <w:t xml:space="preserve">a panaszt, </w:t>
      </w:r>
      <w:r w:rsidRPr="00E51150">
        <w:t>és a rendelkező részben foglalt ajánlást tette a Fgytv. 32§b) pontja alapján.</w:t>
      </w:r>
    </w:p>
    <w:p w:rsidR="0004703E" w:rsidRDefault="0004703E" w:rsidP="0004703E">
      <w:pPr>
        <w:jc w:val="both"/>
        <w:rPr>
          <w:color w:val="000000"/>
        </w:rPr>
      </w:pPr>
    </w:p>
    <w:p w:rsidR="0004703E" w:rsidRPr="0005733B" w:rsidRDefault="0004703E" w:rsidP="0004703E">
      <w:pPr>
        <w:autoSpaceDE w:val="0"/>
        <w:jc w:val="both"/>
      </w:pPr>
      <w:r>
        <w:t>A</w:t>
      </w:r>
      <w:r w:rsidRPr="0005733B">
        <w:t xml:space="preserve"> tanács ajánlása elleni fellebbezés lehetőségét az Fgytv. 34. § (2) bekezdése zárja ki. Azonban a fél az Fgytv 34. § (3) bekezdése alapján</w:t>
      </w:r>
      <w:r w:rsidRPr="0005733B">
        <w:rPr>
          <w:i/>
        </w:rPr>
        <w:t xml:space="preserve"> </w:t>
      </w:r>
      <w:r w:rsidRPr="0005733B">
        <w:t xml:space="preserve">az ajánlás részére történt kézbesítésétől számított tizenöt napon belül keresettel annak hatályon kívül helyezését kérheti a </w:t>
      </w:r>
      <w:r w:rsidRPr="006D2CB2">
        <w:t>Fővárosi Törvényszéktől (1055 Budapest, Markó u. 27. 1363 Bp. Pf. 16)</w:t>
      </w:r>
      <w:r w:rsidRPr="006D2CB2">
        <w:rPr>
          <w:i/>
        </w:rPr>
        <w:t>,</w:t>
      </w:r>
      <w:r w:rsidRPr="006D2CB2">
        <w:t xml:space="preserve"> amennyiben</w:t>
      </w:r>
    </w:p>
    <w:p w:rsidR="0004703E" w:rsidRPr="0005733B" w:rsidRDefault="0004703E" w:rsidP="0004703E">
      <w:pPr>
        <w:autoSpaceDE w:val="0"/>
        <w:jc w:val="both"/>
      </w:pPr>
      <w:r w:rsidRPr="0005733B">
        <w:t>a) a tanács összetétele vagy eljárása nem felelt meg e törvény rendelkezéseinek,</w:t>
      </w:r>
    </w:p>
    <w:p w:rsidR="0004703E" w:rsidRPr="0005733B" w:rsidRDefault="0004703E" w:rsidP="0004703E">
      <w:pPr>
        <w:autoSpaceDE w:val="0"/>
        <w:jc w:val="both"/>
      </w:pPr>
      <w:r w:rsidRPr="0005733B">
        <w:t xml:space="preserve">b) a békéltető testületnek az Fgytv. 18. § (1) bekezdése alapján nem volt hatásköre az eljárásra,  </w:t>
      </w:r>
    </w:p>
    <w:p w:rsidR="0004703E" w:rsidRDefault="0004703E" w:rsidP="0004703E">
      <w:pPr>
        <w:autoSpaceDE w:val="0"/>
        <w:jc w:val="both"/>
      </w:pPr>
      <w:r w:rsidRPr="0005733B">
        <w:t xml:space="preserve">c) a kérelem meghallgatás nélküli elutasításának lett volna helye, az Fgytv. 29. § (4) bekezdésében meghatározott okból </w:t>
      </w:r>
    </w:p>
    <w:p w:rsidR="0004703E" w:rsidRPr="009A6FA7" w:rsidRDefault="0004703E" w:rsidP="0004703E">
      <w:pPr>
        <w:autoSpaceDE w:val="0"/>
        <w:jc w:val="both"/>
      </w:pPr>
      <w:r w:rsidRPr="009A6FA7">
        <w:t xml:space="preserve">(5) A pert a békéltető testülettel szemben kell megindítani. </w:t>
      </w:r>
    </w:p>
    <w:p w:rsidR="0004703E" w:rsidRPr="0005733B" w:rsidRDefault="0004703E" w:rsidP="0004703E">
      <w:pPr>
        <w:autoSpaceDE w:val="0"/>
        <w:jc w:val="both"/>
      </w:pPr>
    </w:p>
    <w:p w:rsidR="0004703E" w:rsidRPr="0005733B" w:rsidRDefault="0004703E" w:rsidP="0004703E">
      <w:pPr>
        <w:jc w:val="both"/>
        <w:rPr>
          <w:color w:val="000000"/>
        </w:rPr>
      </w:pPr>
      <w:r w:rsidRPr="0005733B">
        <w:rPr>
          <w:color w:val="000000"/>
        </w:rPr>
        <w:t xml:space="preserve">Az Fgytv. 36. §-a (5) bekezdése szerint </w:t>
      </w:r>
      <w:r w:rsidRPr="0005733B">
        <w:rPr>
          <w:i/>
          <w:color w:val="000000"/>
        </w:rPr>
        <w:t>„a fogyasztó a határozattal jóváhagyott egyezség és a kötelezést tartalmazó határozat végrehajtásának, illetve az ajánlásban foglaltak követésének elmaradásáról köteles értesíteni a békéltető testületet.”</w:t>
      </w:r>
    </w:p>
    <w:p w:rsidR="0004703E" w:rsidRPr="0005733B" w:rsidRDefault="0004703E" w:rsidP="0004703E">
      <w:pPr>
        <w:jc w:val="both"/>
        <w:rPr>
          <w:i/>
          <w:color w:val="000000"/>
        </w:rPr>
      </w:pPr>
    </w:p>
    <w:p w:rsidR="0004703E" w:rsidRPr="0005733B" w:rsidRDefault="0004703E" w:rsidP="0004703E">
      <w:pPr>
        <w:autoSpaceDE w:val="0"/>
        <w:jc w:val="both"/>
        <w:rPr>
          <w:color w:val="000000"/>
        </w:rPr>
      </w:pPr>
      <w:r w:rsidRPr="0005733B">
        <w:rPr>
          <w:i/>
          <w:color w:val="000000"/>
        </w:rPr>
        <w:t xml:space="preserve">Az eljáró tanács figyelmezteti a vállalkozást, az Fgytv </w:t>
      </w:r>
      <w:r w:rsidRPr="0005733B">
        <w:rPr>
          <w:bCs/>
          <w:i/>
          <w:color w:val="000000"/>
        </w:rPr>
        <w:t xml:space="preserve">36. § </w:t>
      </w:r>
      <w:r w:rsidRPr="0005733B">
        <w:rPr>
          <w:i/>
          <w:color w:val="000000"/>
        </w:rPr>
        <w:t>(1) bekezdésében foglaltakra: ha a tanács ajánlásának nem tesz eleget, a békéltető testület - a fogyasztó nevének megjelölése nélkül - jogosult a jogvita tartalmának rövid leírását és az eljárás eredményét - legkorábban az ajánlásnak a vállalkozás részére történt kézbesítésétől számított hatvan nap elteltével - nyilvánosságra hozni.</w:t>
      </w:r>
    </w:p>
    <w:p w:rsidR="0004703E" w:rsidRPr="005C2DBA" w:rsidRDefault="0004703E" w:rsidP="0004703E">
      <w:pPr>
        <w:autoSpaceDE w:val="0"/>
        <w:jc w:val="both"/>
        <w:rPr>
          <w:i/>
          <w:color w:val="000000"/>
        </w:rPr>
      </w:pPr>
      <w:r w:rsidRPr="005C2DBA">
        <w:rPr>
          <w:i/>
          <w:color w:val="000000"/>
        </w:rPr>
        <w:t>Az eljáró tanács a Fgytv. 34. § (1) A tanács határozata, illetve ajánlása nem érinti a fogyasztónak azt a jogát, hogy igényét bírósági eljárás keretében érvényesítse.</w:t>
      </w:r>
    </w:p>
    <w:p w:rsidR="0004703E" w:rsidRPr="00036EEC" w:rsidRDefault="0004703E" w:rsidP="0004703E">
      <w:pPr>
        <w:autoSpaceDE w:val="0"/>
        <w:autoSpaceDN w:val="0"/>
        <w:adjustRightInd w:val="0"/>
        <w:jc w:val="both"/>
      </w:pPr>
      <w:r w:rsidRPr="00036EEC">
        <w:t>Az eljáró tanács felhívja a felek figyelmét arra, hogy az Fgytv. 30. § (3) bekezdése szerint: „Az eljárás nem nyilvános, kivéve, ha az eljárás nyilvánosságához mindkét fél hozzájárul.” Ezért a jelen döntésben szereplő személyes adatok, a felek és az eljáró tanács megnevezése, továbbá a döntés tartalma is csak jogszabályban meghatározott esetekben és módon hozható nyilvánosságra.</w:t>
      </w:r>
    </w:p>
    <w:p w:rsidR="0004703E" w:rsidRDefault="0004703E" w:rsidP="0004703E">
      <w:pPr>
        <w:pStyle w:val="NormlWeb"/>
        <w:spacing w:before="0" w:beforeAutospacing="0" w:after="0" w:afterAutospacing="0"/>
        <w:ind w:right="150"/>
        <w:jc w:val="both"/>
        <w:rPr>
          <w:color w:val="auto"/>
          <w:lang w:eastAsia="ar-SA"/>
        </w:rPr>
      </w:pPr>
    </w:p>
    <w:p w:rsidR="0004703E" w:rsidRDefault="0004703E" w:rsidP="0004703E"/>
    <w:p w:rsidR="00DB73C7" w:rsidRDefault="0004703E" w:rsidP="0004703E">
      <w:r>
        <w:t xml:space="preserve">Budapest, 2015. </w:t>
      </w:r>
      <w:r w:rsidR="009C0609">
        <w:t>június 03.</w:t>
      </w:r>
    </w:p>
    <w:p w:rsidR="00DB73C7" w:rsidRDefault="00DB73C7" w:rsidP="0004703E"/>
    <w:p w:rsidR="009C0609" w:rsidRDefault="0004703E" w:rsidP="0004703E">
      <w:r>
        <w:tab/>
      </w:r>
      <w:r>
        <w:tab/>
      </w:r>
    </w:p>
    <w:p w:rsidR="0004703E" w:rsidRPr="0005733B" w:rsidRDefault="0004703E" w:rsidP="00DB73C7">
      <w:pPr>
        <w:jc w:val="center"/>
        <w:rPr>
          <w:b/>
          <w:color w:val="000000"/>
        </w:rPr>
      </w:pPr>
      <w:r w:rsidRPr="0005733B">
        <w:rPr>
          <w:b/>
        </w:rPr>
        <w:t xml:space="preserve">Dr. </w:t>
      </w:r>
      <w:smartTag w:uri="urn:schemas-microsoft-com:office:smarttags" w:element="PersonName">
        <w:smartTagPr>
          <w:attr w:name="ProductID" w:val="Kar￡csony Gabriella"/>
        </w:smartTagPr>
        <w:r>
          <w:rPr>
            <w:b/>
          </w:rPr>
          <w:t>Karácsony Gabriella</w:t>
        </w:r>
      </w:smartTag>
    </w:p>
    <w:p w:rsidR="0004703E" w:rsidRDefault="0004703E" w:rsidP="00DB73C7">
      <w:pPr>
        <w:tabs>
          <w:tab w:val="center" w:pos="6237"/>
        </w:tabs>
        <w:jc w:val="center"/>
        <w:rPr>
          <w:b/>
          <w:color w:val="000000"/>
        </w:rPr>
      </w:pPr>
      <w:r w:rsidRPr="0005733B">
        <w:rPr>
          <w:b/>
          <w:color w:val="000000"/>
        </w:rPr>
        <w:t>eljáró tanács elnöke</w:t>
      </w:r>
    </w:p>
    <w:p w:rsidR="009C0609" w:rsidRDefault="009C0609" w:rsidP="0004703E">
      <w:pPr>
        <w:tabs>
          <w:tab w:val="center" w:pos="6237"/>
        </w:tabs>
        <w:rPr>
          <w:b/>
          <w:color w:val="000000"/>
        </w:rPr>
      </w:pPr>
    </w:p>
    <w:p w:rsidR="009C0609" w:rsidRDefault="00DB73C7" w:rsidP="0004703E">
      <w:pPr>
        <w:tabs>
          <w:tab w:val="center" w:pos="6237"/>
        </w:tabs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9C0609">
        <w:rPr>
          <w:b/>
          <w:color w:val="000000"/>
        </w:rPr>
        <w:t xml:space="preserve">Dietz Gusztávné dr. </w:t>
      </w:r>
      <w:r w:rsidR="009C0609">
        <w:rPr>
          <w:b/>
          <w:color w:val="000000"/>
        </w:rPr>
        <w:tab/>
      </w:r>
      <w:r w:rsidR="009C0609">
        <w:rPr>
          <w:b/>
          <w:color w:val="000000"/>
        </w:rPr>
        <w:tab/>
      </w:r>
      <w:r>
        <w:rPr>
          <w:b/>
          <w:color w:val="000000"/>
        </w:rPr>
        <w:t xml:space="preserve">            </w:t>
      </w:r>
      <w:r w:rsidR="009C0609">
        <w:rPr>
          <w:b/>
          <w:color w:val="000000"/>
        </w:rPr>
        <w:t>Lednyiczky Zsigmond</w:t>
      </w:r>
    </w:p>
    <w:p w:rsidR="009C0609" w:rsidRPr="0005733B" w:rsidRDefault="009C0609" w:rsidP="0004703E">
      <w:pPr>
        <w:tabs>
          <w:tab w:val="center" w:pos="6237"/>
        </w:tabs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DB73C7">
        <w:rPr>
          <w:b/>
          <w:color w:val="000000"/>
        </w:rPr>
        <w:t xml:space="preserve"> </w:t>
      </w:r>
      <w:r>
        <w:rPr>
          <w:b/>
          <w:color w:val="000000"/>
        </w:rPr>
        <w:t xml:space="preserve"> eljáró tanács tag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</w:t>
      </w:r>
      <w:r w:rsidR="00DB73C7">
        <w:rPr>
          <w:b/>
          <w:color w:val="000000"/>
        </w:rPr>
        <w:t xml:space="preserve">             </w:t>
      </w:r>
      <w:r>
        <w:rPr>
          <w:b/>
          <w:color w:val="000000"/>
        </w:rPr>
        <w:t>eljáró tanács tag</w:t>
      </w:r>
    </w:p>
    <w:p w:rsidR="00DB73C7" w:rsidRDefault="00DB73C7" w:rsidP="0004703E">
      <w:pPr>
        <w:tabs>
          <w:tab w:val="center" w:pos="6237"/>
        </w:tabs>
        <w:rPr>
          <w:color w:val="000000"/>
          <w:sz w:val="18"/>
          <w:szCs w:val="18"/>
        </w:rPr>
      </w:pPr>
    </w:p>
    <w:p w:rsidR="00DB73C7" w:rsidRDefault="00DB73C7" w:rsidP="0004703E">
      <w:pPr>
        <w:tabs>
          <w:tab w:val="center" w:pos="6237"/>
        </w:tabs>
        <w:rPr>
          <w:color w:val="000000"/>
          <w:sz w:val="18"/>
          <w:szCs w:val="18"/>
        </w:rPr>
      </w:pPr>
    </w:p>
    <w:p w:rsidR="00DB73C7" w:rsidRDefault="00DB73C7" w:rsidP="0004703E">
      <w:pPr>
        <w:tabs>
          <w:tab w:val="center" w:pos="6237"/>
        </w:tabs>
        <w:rPr>
          <w:color w:val="000000"/>
          <w:sz w:val="18"/>
          <w:szCs w:val="18"/>
        </w:rPr>
      </w:pPr>
    </w:p>
    <w:p w:rsidR="0004703E" w:rsidRPr="00DB73C7" w:rsidRDefault="0004703E" w:rsidP="0004703E">
      <w:pPr>
        <w:tabs>
          <w:tab w:val="center" w:pos="6237"/>
        </w:tabs>
        <w:rPr>
          <w:color w:val="000000"/>
        </w:rPr>
      </w:pPr>
      <w:r w:rsidRPr="00DB73C7">
        <w:rPr>
          <w:color w:val="000000"/>
        </w:rPr>
        <w:t>Kapják:</w:t>
      </w:r>
    </w:p>
    <w:p w:rsidR="0004703E" w:rsidRPr="00DB73C7" w:rsidRDefault="0004703E" w:rsidP="0004703E">
      <w:pPr>
        <w:numPr>
          <w:ilvl w:val="0"/>
          <w:numId w:val="1"/>
        </w:numPr>
        <w:tabs>
          <w:tab w:val="left" w:pos="720"/>
          <w:tab w:val="center" w:pos="6597"/>
        </w:tabs>
        <w:suppressAutoHyphens/>
        <w:rPr>
          <w:color w:val="000000"/>
        </w:rPr>
      </w:pPr>
      <w:r w:rsidRPr="00DB73C7">
        <w:rPr>
          <w:color w:val="000000"/>
        </w:rPr>
        <w:t>Fogyasztó</w:t>
      </w:r>
    </w:p>
    <w:p w:rsidR="0004703E" w:rsidRPr="00DB73C7" w:rsidRDefault="0004703E" w:rsidP="0004703E">
      <w:pPr>
        <w:numPr>
          <w:ilvl w:val="0"/>
          <w:numId w:val="1"/>
        </w:numPr>
        <w:tabs>
          <w:tab w:val="left" w:pos="720"/>
          <w:tab w:val="center" w:pos="6597"/>
        </w:tabs>
        <w:suppressAutoHyphens/>
        <w:rPr>
          <w:color w:val="000000"/>
        </w:rPr>
      </w:pPr>
      <w:r w:rsidRPr="00DB73C7">
        <w:rPr>
          <w:color w:val="000000"/>
        </w:rPr>
        <w:t>Vállalkozás</w:t>
      </w:r>
    </w:p>
    <w:p w:rsidR="0004703E" w:rsidRPr="00DB73C7" w:rsidRDefault="0004703E" w:rsidP="0004703E">
      <w:pPr>
        <w:tabs>
          <w:tab w:val="left" w:pos="720"/>
          <w:tab w:val="center" w:pos="6597"/>
        </w:tabs>
        <w:ind w:left="360" w:hanging="360"/>
      </w:pPr>
      <w:r w:rsidRPr="00DB73C7">
        <w:rPr>
          <w:color w:val="000000"/>
        </w:rPr>
        <w:tab/>
        <w:t>3.   Irattár</w:t>
      </w:r>
    </w:p>
    <w:p w:rsidR="00954E17" w:rsidRDefault="00954E17"/>
    <w:sectPr w:rsidR="00954E17" w:rsidSect="00DB73C7">
      <w:footerReference w:type="default" r:id="rId7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5B" w:rsidRDefault="00D1185B">
      <w:r>
        <w:separator/>
      </w:r>
    </w:p>
  </w:endnote>
  <w:endnote w:type="continuationSeparator" w:id="0">
    <w:p w:rsidR="00D1185B" w:rsidRDefault="00D1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6D" w:rsidRDefault="008676B1">
    <w:pPr>
      <w:pStyle w:val="llb"/>
      <w:jc w:val="center"/>
    </w:pPr>
    <w:r>
      <w:fldChar w:fldCharType="begin"/>
    </w:r>
    <w:r w:rsidR="00800E6D">
      <w:instrText xml:space="preserve"> PAGE   \* MERGEFORMAT </w:instrText>
    </w:r>
    <w:r>
      <w:fldChar w:fldCharType="separate"/>
    </w:r>
    <w:r w:rsidR="00D1185B">
      <w:rPr>
        <w:noProof/>
      </w:rPr>
      <w:t>1</w:t>
    </w:r>
    <w:r>
      <w:fldChar w:fldCharType="end"/>
    </w:r>
  </w:p>
  <w:p w:rsidR="00800E6D" w:rsidRDefault="00800E6D">
    <w:pPr>
      <w:pageBreakBefore/>
      <w:autoSpaceDE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5B" w:rsidRDefault="00D1185B">
      <w:r>
        <w:separator/>
      </w:r>
    </w:p>
  </w:footnote>
  <w:footnote w:type="continuationSeparator" w:id="0">
    <w:p w:rsidR="00D1185B" w:rsidRDefault="00D1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381"/>
    <w:multiLevelType w:val="hybridMultilevel"/>
    <w:tmpl w:val="A6187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74B"/>
    <w:multiLevelType w:val="hybridMultilevel"/>
    <w:tmpl w:val="8C447C6C"/>
    <w:lvl w:ilvl="0" w:tplc="B8B207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703E"/>
    <w:rsid w:val="0001719E"/>
    <w:rsid w:val="0004703E"/>
    <w:rsid w:val="0005078A"/>
    <w:rsid w:val="00110430"/>
    <w:rsid w:val="001645D5"/>
    <w:rsid w:val="00187ADD"/>
    <w:rsid w:val="001D3A29"/>
    <w:rsid w:val="0021194A"/>
    <w:rsid w:val="0023575A"/>
    <w:rsid w:val="002E4C14"/>
    <w:rsid w:val="003453EA"/>
    <w:rsid w:val="00454AAC"/>
    <w:rsid w:val="00490A20"/>
    <w:rsid w:val="004A7348"/>
    <w:rsid w:val="004D5310"/>
    <w:rsid w:val="00537737"/>
    <w:rsid w:val="005C5298"/>
    <w:rsid w:val="00602178"/>
    <w:rsid w:val="006A4042"/>
    <w:rsid w:val="00800E6D"/>
    <w:rsid w:val="00821AAD"/>
    <w:rsid w:val="008514C1"/>
    <w:rsid w:val="008676B1"/>
    <w:rsid w:val="00894FA8"/>
    <w:rsid w:val="00925039"/>
    <w:rsid w:val="00954E17"/>
    <w:rsid w:val="009C0609"/>
    <w:rsid w:val="009D04BB"/>
    <w:rsid w:val="009D6663"/>
    <w:rsid w:val="00A57CA8"/>
    <w:rsid w:val="00A678C3"/>
    <w:rsid w:val="00B605DB"/>
    <w:rsid w:val="00BA5998"/>
    <w:rsid w:val="00C34898"/>
    <w:rsid w:val="00C7217D"/>
    <w:rsid w:val="00C83B11"/>
    <w:rsid w:val="00C84FFF"/>
    <w:rsid w:val="00CA61BE"/>
    <w:rsid w:val="00CD3C9B"/>
    <w:rsid w:val="00CF1C18"/>
    <w:rsid w:val="00D1185B"/>
    <w:rsid w:val="00D57B79"/>
    <w:rsid w:val="00DB73C7"/>
    <w:rsid w:val="00E5298F"/>
    <w:rsid w:val="00E94E2C"/>
    <w:rsid w:val="00EB3222"/>
    <w:rsid w:val="00EC0072"/>
    <w:rsid w:val="00EF39F9"/>
    <w:rsid w:val="00F04F1F"/>
    <w:rsid w:val="00F33226"/>
    <w:rsid w:val="00FB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6B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4703E"/>
    <w:pPr>
      <w:keepNext/>
      <w:tabs>
        <w:tab w:val="num" w:pos="432"/>
      </w:tabs>
      <w:suppressAutoHyphens/>
      <w:spacing w:line="360" w:lineRule="auto"/>
      <w:ind w:left="432" w:hanging="432"/>
      <w:jc w:val="center"/>
      <w:outlineLvl w:val="0"/>
    </w:pPr>
    <w:rPr>
      <w:rFonts w:ascii="Arial" w:hAnsi="Arial" w:cs="Arial"/>
      <w:b/>
      <w:bCs/>
      <w:i/>
      <w:i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4703E"/>
    <w:rPr>
      <w:rFonts w:ascii="Arial" w:hAnsi="Arial" w:cs="Arial"/>
      <w:b/>
      <w:bCs/>
      <w:i/>
      <w:iCs/>
      <w:sz w:val="24"/>
      <w:szCs w:val="24"/>
      <w:lang w:val="hu-HU" w:eastAsia="ar-SA" w:bidi="ar-SA"/>
    </w:rPr>
  </w:style>
  <w:style w:type="paragraph" w:styleId="Szvegtrzs">
    <w:name w:val="Body Text"/>
    <w:basedOn w:val="Norml"/>
    <w:link w:val="SzvegtrzsChar"/>
    <w:semiHidden/>
    <w:rsid w:val="0004703E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character" w:customStyle="1" w:styleId="SzvegtrzsChar">
    <w:name w:val="Szövegtörzs Char"/>
    <w:link w:val="Szvegtrzs"/>
    <w:semiHidden/>
    <w:rsid w:val="0004703E"/>
    <w:rPr>
      <w:rFonts w:ascii="Arial" w:hAnsi="Arial" w:cs="Arial"/>
      <w:b/>
      <w:bCs/>
      <w:i/>
      <w:iCs/>
      <w:sz w:val="24"/>
      <w:szCs w:val="24"/>
      <w:lang w:val="hu-HU" w:eastAsia="ar-SA" w:bidi="ar-SA"/>
    </w:rPr>
  </w:style>
  <w:style w:type="paragraph" w:styleId="lfej">
    <w:name w:val="header"/>
    <w:basedOn w:val="Norml"/>
    <w:link w:val="lfejChar"/>
    <w:semiHidden/>
    <w:rsid w:val="0004703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link w:val="lfej"/>
    <w:semiHidden/>
    <w:rsid w:val="0004703E"/>
    <w:rPr>
      <w:lang w:val="hu-HU" w:eastAsia="ar-SA" w:bidi="ar-SA"/>
    </w:rPr>
  </w:style>
  <w:style w:type="paragraph" w:styleId="llb">
    <w:name w:val="footer"/>
    <w:basedOn w:val="Norml"/>
    <w:link w:val="llbChar"/>
    <w:rsid w:val="0004703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lbChar">
    <w:name w:val="Élőláb Char"/>
    <w:link w:val="llb"/>
    <w:rsid w:val="0004703E"/>
    <w:rPr>
      <w:lang w:val="hu-HU" w:eastAsia="ar-SA" w:bidi="ar-SA"/>
    </w:rPr>
  </w:style>
  <w:style w:type="paragraph" w:styleId="NormlWeb">
    <w:name w:val="Normal (Web)"/>
    <w:basedOn w:val="Norml"/>
    <w:rsid w:val="0004703E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semiHidden/>
    <w:unhideWhenUsed/>
    <w:rsid w:val="00DB73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B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7829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Békéltető Testület</vt:lpstr>
    </vt:vector>
  </TitlesOfParts>
  <Company>Microsoft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Békéltető Testület</dc:title>
  <dc:creator>User</dc:creator>
  <cp:lastModifiedBy>BBT</cp:lastModifiedBy>
  <cp:revision>3</cp:revision>
  <cp:lastPrinted>2015-07-06T10:50:00Z</cp:lastPrinted>
  <dcterms:created xsi:type="dcterms:W3CDTF">2015-09-04T11:07:00Z</dcterms:created>
  <dcterms:modified xsi:type="dcterms:W3CDTF">2015-09-04T11:07:00Z</dcterms:modified>
</cp:coreProperties>
</file>