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C6" w:rsidRDefault="00E17BC6" w:rsidP="00E17BC6">
      <w:pPr>
        <w:pStyle w:val="lfej"/>
        <w:shd w:val="clear" w:color="auto" w:fill="D8D8D8"/>
        <w:jc w:val="center"/>
        <w:rPr>
          <w:rFonts w:ascii="Clarendon" w:hAnsi="Clarendon"/>
          <w:b/>
          <w:sz w:val="32"/>
        </w:rPr>
      </w:pPr>
      <w:r>
        <w:rPr>
          <w:rFonts w:ascii="Clarendon" w:hAnsi="Clarendon"/>
          <w:b/>
          <w:sz w:val="32"/>
        </w:rPr>
        <w:t>Budapesti Békéltető Testület</w:t>
      </w:r>
    </w:p>
    <w:p w:rsidR="00E17BC6" w:rsidRDefault="00E17BC6" w:rsidP="00E17BC6">
      <w:pPr>
        <w:pStyle w:val="lfej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1016. Budapest, Krisztina krt. 99.</w:t>
      </w:r>
    </w:p>
    <w:p w:rsidR="00E17BC6" w:rsidRDefault="00E17BC6" w:rsidP="00E17BC6">
      <w:pPr>
        <w:pStyle w:val="lfej"/>
        <w:jc w:val="center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levelezési</w:t>
      </w:r>
      <w:proofErr w:type="gramEnd"/>
      <w:r>
        <w:rPr>
          <w:rFonts w:ascii="Times New Roman" w:hAnsi="Times New Roman"/>
          <w:i/>
          <w:sz w:val="20"/>
        </w:rPr>
        <w:t xml:space="preserve"> cím: 1253. Budapest, Pf.: 10.</w:t>
      </w:r>
    </w:p>
    <w:p w:rsidR="00E17BC6" w:rsidRDefault="00E17BC6" w:rsidP="00E17BC6">
      <w:pPr>
        <w:pStyle w:val="lfej"/>
        <w:tabs>
          <w:tab w:val="left" w:pos="2410"/>
        </w:tabs>
        <w:jc w:val="center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i/>
          <w:sz w:val="20"/>
        </w:rPr>
        <w:t>tel</w:t>
      </w:r>
      <w:proofErr w:type="gramEnd"/>
      <w:r>
        <w:rPr>
          <w:rFonts w:ascii="Times New Roman" w:hAnsi="Times New Roman"/>
          <w:i/>
          <w:sz w:val="20"/>
        </w:rPr>
        <w:t>.: 488-213 1; fax: 488-2186</w:t>
      </w:r>
    </w:p>
    <w:p w:rsidR="00E17BC6" w:rsidRPr="00CE2236" w:rsidRDefault="00E17BC6" w:rsidP="00E17BC6">
      <w:pPr>
        <w:ind w:left="2124" w:right="-426" w:firstLine="708"/>
        <w:rPr>
          <w:sz w:val="20"/>
          <w:szCs w:val="20"/>
        </w:rPr>
      </w:pPr>
      <w:r w:rsidRPr="00CE2236">
        <w:rPr>
          <w:i/>
          <w:sz w:val="20"/>
          <w:szCs w:val="20"/>
        </w:rPr>
        <w:t xml:space="preserve">      </w:t>
      </w:r>
      <w:r w:rsidR="006F6225">
        <w:rPr>
          <w:i/>
          <w:sz w:val="20"/>
          <w:szCs w:val="20"/>
        </w:rPr>
        <w:t xml:space="preserve">  </w:t>
      </w:r>
      <w:r w:rsidRPr="00CE2236">
        <w:rPr>
          <w:i/>
          <w:sz w:val="20"/>
          <w:szCs w:val="20"/>
        </w:rPr>
        <w:t xml:space="preserve"> </w:t>
      </w:r>
      <w:proofErr w:type="gramStart"/>
      <w:r w:rsidRPr="00CE2236">
        <w:rPr>
          <w:i/>
          <w:sz w:val="20"/>
          <w:szCs w:val="20"/>
        </w:rPr>
        <w:t>e-mail</w:t>
      </w:r>
      <w:proofErr w:type="gramEnd"/>
      <w:r w:rsidRPr="00CE2236">
        <w:rPr>
          <w:i/>
          <w:sz w:val="20"/>
          <w:szCs w:val="20"/>
        </w:rPr>
        <w:t xml:space="preserve"> cím: </w:t>
      </w:r>
      <w:hyperlink r:id="rId7" w:history="1">
        <w:r w:rsidRPr="00CE2236">
          <w:rPr>
            <w:rStyle w:val="Hiperhivatkozs"/>
            <w:rFonts w:eastAsia="Lucida Sans Unicode"/>
            <w:sz w:val="20"/>
            <w:szCs w:val="20"/>
          </w:rPr>
          <w:t>bekelteto.testulet@bkik.hu</w:t>
        </w:r>
      </w:hyperlink>
    </w:p>
    <w:p w:rsidR="00E17BC6" w:rsidRDefault="009A4AFA" w:rsidP="00E17BC6">
      <w:pPr>
        <w:ind w:right="-426"/>
        <w:jc w:val="center"/>
      </w:pPr>
      <w:r>
        <w:rPr>
          <w:noProof/>
        </w:rPr>
        <w:pict>
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5.25pt" to="483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" strokeweight=".26mm">
            <v:stroke joinstyle="miter"/>
          </v:line>
        </w:pict>
      </w:r>
    </w:p>
    <w:p w:rsidR="00E17BC6" w:rsidRDefault="00C03A28" w:rsidP="00E17BC6">
      <w:r>
        <w:t>BBT/</w:t>
      </w:r>
      <w:r w:rsidR="005E5F2F">
        <w:t>1655</w:t>
      </w:r>
      <w:r w:rsidR="00E07327">
        <w:t>/2015.</w:t>
      </w:r>
    </w:p>
    <w:p w:rsidR="00E17BC6" w:rsidRDefault="00E17BC6" w:rsidP="00E17BC6"/>
    <w:p w:rsidR="00E17BC6" w:rsidRDefault="00E17BC6" w:rsidP="00E17BC6">
      <w:pPr>
        <w:jc w:val="both"/>
      </w:pPr>
      <w:r>
        <w:t xml:space="preserve">A Budapesti Békéltető Testület előtt fenti számon fogyasztó kérelmére a </w:t>
      </w:r>
      <w:r w:rsidR="005E5F2F">
        <w:rPr>
          <w:b/>
        </w:rPr>
        <w:t xml:space="preserve">Budapesti Közlekedési Központ </w:t>
      </w:r>
      <w:proofErr w:type="spellStart"/>
      <w:r w:rsidR="005E5F2F">
        <w:rPr>
          <w:b/>
        </w:rPr>
        <w:t>Zrt</w:t>
      </w:r>
      <w:proofErr w:type="spellEnd"/>
      <w:r>
        <w:rPr>
          <w:b/>
        </w:rPr>
        <w:t xml:space="preserve"> </w:t>
      </w:r>
      <w:r w:rsidR="002C0FDD">
        <w:t>(1</w:t>
      </w:r>
      <w:r w:rsidR="005E5F2F">
        <w:t xml:space="preserve">075 Budapest </w:t>
      </w:r>
      <w:proofErr w:type="spellStart"/>
      <w:r w:rsidR="005E5F2F">
        <w:t>Rumbach</w:t>
      </w:r>
      <w:proofErr w:type="spellEnd"/>
      <w:r w:rsidR="005E5F2F">
        <w:t xml:space="preserve"> Sebestyén u</w:t>
      </w:r>
      <w:r w:rsidR="0073714B">
        <w:t>.</w:t>
      </w:r>
      <w:r w:rsidR="005E5F2F">
        <w:t xml:space="preserve"> 19-21.</w:t>
      </w:r>
      <w:r>
        <w:t xml:space="preserve">) vállalkozással szembeni ügyben a fogyasztói jogvita rendezése érdekében az eljáró tanács alulírott napon a következő </w:t>
      </w:r>
    </w:p>
    <w:p w:rsidR="00E17BC6" w:rsidRDefault="00E17BC6" w:rsidP="00E17BC6">
      <w:pPr>
        <w:jc w:val="center"/>
        <w:rPr>
          <w:b/>
        </w:rPr>
      </w:pPr>
    </w:p>
    <w:p w:rsidR="00E17BC6" w:rsidRDefault="00E17BC6" w:rsidP="00E17BC6">
      <w:pPr>
        <w:jc w:val="center"/>
        <w:rPr>
          <w:b/>
        </w:rPr>
      </w:pPr>
      <w:r>
        <w:rPr>
          <w:b/>
        </w:rPr>
        <w:t>A J Á N L Á S T</w:t>
      </w:r>
    </w:p>
    <w:p w:rsidR="00E17BC6" w:rsidRDefault="00E17BC6" w:rsidP="00E17BC6">
      <w:proofErr w:type="gramStart"/>
      <w:r>
        <w:t>teszi</w:t>
      </w:r>
      <w:proofErr w:type="gramEnd"/>
      <w:r>
        <w:t>:</w:t>
      </w:r>
    </w:p>
    <w:p w:rsidR="00E17BC6" w:rsidRDefault="00E17BC6" w:rsidP="00E17BC6">
      <w:pPr>
        <w:jc w:val="center"/>
        <w:rPr>
          <w:b/>
        </w:rPr>
      </w:pPr>
    </w:p>
    <w:p w:rsidR="00E17BC6" w:rsidRDefault="00E17BC6" w:rsidP="00E17BC6">
      <w:pPr>
        <w:jc w:val="both"/>
        <w:rPr>
          <w:b/>
        </w:rPr>
      </w:pPr>
      <w:r w:rsidRPr="00B75934">
        <w:rPr>
          <w:b/>
        </w:rPr>
        <w:t>A vállalkozás az írásba foglalt ajánlás kéz</w:t>
      </w:r>
      <w:r w:rsidR="00AB2674">
        <w:rPr>
          <w:b/>
        </w:rPr>
        <w:t>hezvételét követő</w:t>
      </w:r>
      <w:r w:rsidR="00BD0630">
        <w:rPr>
          <w:b/>
        </w:rPr>
        <w:t xml:space="preserve"> 15 napon belül</w:t>
      </w:r>
      <w:r w:rsidR="0073714B">
        <w:rPr>
          <w:b/>
        </w:rPr>
        <w:t xml:space="preserve"> fizesse</w:t>
      </w:r>
      <w:r w:rsidR="003D290A">
        <w:rPr>
          <w:b/>
        </w:rPr>
        <w:t>n</w:t>
      </w:r>
      <w:r w:rsidR="0073714B">
        <w:rPr>
          <w:b/>
        </w:rPr>
        <w:t xml:space="preserve"> vissza a fogyasztónak</w:t>
      </w:r>
      <w:r w:rsidR="00B17D45">
        <w:rPr>
          <w:b/>
        </w:rPr>
        <w:t xml:space="preserve"> 3.166 Ft-ot</w:t>
      </w:r>
      <w:r w:rsidRPr="00B75934">
        <w:rPr>
          <w:b/>
        </w:rPr>
        <w:t>.</w:t>
      </w:r>
    </w:p>
    <w:p w:rsidR="00E17BC6" w:rsidRDefault="00C03A28" w:rsidP="00C03A28">
      <w:pPr>
        <w:tabs>
          <w:tab w:val="left" w:pos="7095"/>
        </w:tabs>
        <w:autoSpaceDE w:val="0"/>
        <w:jc w:val="both"/>
      </w:pPr>
      <w:r>
        <w:tab/>
      </w:r>
    </w:p>
    <w:p w:rsidR="00E17BC6" w:rsidRPr="00BD4114" w:rsidRDefault="00E17BC6" w:rsidP="00E17BC6">
      <w:pPr>
        <w:autoSpaceDE w:val="0"/>
        <w:jc w:val="both"/>
      </w:pPr>
      <w:r w:rsidRPr="00BD4114">
        <w:t xml:space="preserve">A tanács ajánlása ellen fellebbezésnek nincs helye, annak hatályon kívül helyezése - jogszabályban meghatározott esetekben kérhető a </w:t>
      </w:r>
      <w:r>
        <w:t>Fővárosi Törvényszéktől.</w:t>
      </w:r>
    </w:p>
    <w:p w:rsidR="00E17BC6" w:rsidRDefault="00E17BC6" w:rsidP="00E17BC6"/>
    <w:p w:rsidR="00E17BC6" w:rsidRDefault="00E17BC6" w:rsidP="00E17BC6">
      <w:pPr>
        <w:pStyle w:val="Cmsor1"/>
      </w:pPr>
      <w:r>
        <w:t>INDOKOLÁS</w:t>
      </w:r>
    </w:p>
    <w:p w:rsidR="00E17BC6" w:rsidRDefault="00E17BC6" w:rsidP="00E17BC6"/>
    <w:p w:rsidR="007B4A69" w:rsidRDefault="002E4920" w:rsidP="002E4920">
      <w:pPr>
        <w:jc w:val="both"/>
      </w:pPr>
      <w:r w:rsidRPr="00FA73DE">
        <w:t xml:space="preserve">A </w:t>
      </w:r>
      <w:r>
        <w:t>fogyasztó kérelme szerint</w:t>
      </w:r>
      <w:r w:rsidR="00B17D45">
        <w:t xml:space="preserve"> 2015</w:t>
      </w:r>
      <w:r w:rsidR="00215E81">
        <w:t>.</w:t>
      </w:r>
      <w:r w:rsidR="00C03A28">
        <w:t xml:space="preserve"> </w:t>
      </w:r>
      <w:r w:rsidR="00B17D45">
        <w:t xml:space="preserve">február 5-én a Budapest XVII. kerületi Hősök terén egy automatából vásárolt havi bérletet, melyet gond nélkül használt is egy hónapon keresztül. Március 4-én és 5-én több jegypénztárnál is meg akarta hosszabbítani a bérletet, kiegészítő heti bérletet akart vásárolni 2450 Ft-ért, mert március 13. és 22. között hajdúszoboszlói gyógykezelésen vett részt és el akarta kerülni, hogy erre az időszakra feleslegesen budapesti bérlet kelljen vásárolnia. Sajnos </w:t>
      </w:r>
      <w:r w:rsidR="001217F5">
        <w:t xml:space="preserve">– ismeretlen ok miatt – </w:t>
      </w:r>
      <w:r w:rsidR="00B17D45">
        <w:t>a vállalkozás számítógépes rendszerében</w:t>
      </w:r>
      <w:r w:rsidR="001217F5">
        <w:t xml:space="preserve"> az adott sorszámú bérlettel kapcsolatban az az adat szerepelt, hogy 2014. december 31-én értékesítették, érvényessége pedig 2015. január 30-áig terjedt ki, ezért március 4-étől nem lehetett meghosszabbítani. A fogyasztónak március hónapra is havi bérletet kellett vásárolnia, önhibáján kívül nem tudott élni egy olyan lehetőséggel, amelyre a havi bérlet megvásárlása feljogosította. A fogyasztó március 5-én a vásárlók könyvében panaszt tett, melyre adott válaszában a vállalkozás megismételte a helyszínen is elmondottakat a számítógépes nyilvántartásuk adatairól és semmilyen módon sem próbálta meg orvosolni a hibát.</w:t>
      </w:r>
    </w:p>
    <w:p w:rsidR="000C58C8" w:rsidRDefault="000C58C8" w:rsidP="002E4920">
      <w:pPr>
        <w:jc w:val="both"/>
      </w:pPr>
    </w:p>
    <w:p w:rsidR="007B4A69" w:rsidRPr="00FA73DE" w:rsidRDefault="007B4A69" w:rsidP="002E4920">
      <w:pPr>
        <w:jc w:val="both"/>
      </w:pPr>
      <w:r>
        <w:t>A fogya</w:t>
      </w:r>
      <w:r w:rsidR="001217F5">
        <w:t>sztó 2015. máju</w:t>
      </w:r>
      <w:r w:rsidR="007B311F">
        <w:t xml:space="preserve">s </w:t>
      </w:r>
      <w:r w:rsidR="001217F5">
        <w:t>19</w:t>
      </w:r>
      <w:r w:rsidRPr="007B4A69">
        <w:t xml:space="preserve">-én fordult a Budapesti Békéltető Testülethez </w:t>
      </w:r>
      <w:r w:rsidR="00915B75">
        <w:t xml:space="preserve">és kérte </w:t>
      </w:r>
      <w:r w:rsidR="001217F5">
        <w:t xml:space="preserve">a havi bérlet </w:t>
      </w:r>
      <w:r w:rsidR="007B311F">
        <w:t>vételár</w:t>
      </w:r>
      <w:r w:rsidR="001217F5">
        <w:t xml:space="preserve">a (9.500 Ft) arányos részének (10 nap: 9500/3=3166 Ft) a visszatérítését, amikorra önhibáján kívül bérletet kellett vásárolnia, pedig nem tartózkodott Budapesten. </w:t>
      </w:r>
      <w:r w:rsidR="00E92871" w:rsidRPr="00E92871">
        <w:t>A kérelméhez csatolta</w:t>
      </w:r>
      <w:r w:rsidR="00E92871">
        <w:t xml:space="preserve"> </w:t>
      </w:r>
      <w:r w:rsidR="00A26736">
        <w:t xml:space="preserve">a </w:t>
      </w:r>
      <w:r w:rsidR="0066306E">
        <w:t xml:space="preserve">februári bérletszelvény másolata mellett a 2014. decemberi (nov. 27. és dec. 26. között érvényes), valamint a 2015. januári (jan. 5. és </w:t>
      </w:r>
      <w:proofErr w:type="spellStart"/>
      <w:r w:rsidR="0066306E">
        <w:t>feb</w:t>
      </w:r>
      <w:proofErr w:type="spellEnd"/>
      <w:r w:rsidR="0066306E">
        <w:t>. 4. között érvényes) bérletszelvényeket, amelyek alátámasztják, hogy ha hamisított is a februári bérletszelvénye, akkor sem állt érdekében 2014. december 31-én bérletet vásárolni. Mellékelte ezen kívül a vásárlók könyvébe írt panaszát, valamint a vállalkozástól kapott válaszlevelet is.</w:t>
      </w:r>
    </w:p>
    <w:p w:rsidR="00E17BC6" w:rsidRDefault="00E17BC6" w:rsidP="00E17BC6">
      <w:pPr>
        <w:jc w:val="both"/>
      </w:pPr>
    </w:p>
    <w:p w:rsidR="007B4A69" w:rsidRDefault="007B4A69" w:rsidP="007B4A69">
      <w:pPr>
        <w:tabs>
          <w:tab w:val="left" w:pos="6096"/>
        </w:tabs>
        <w:jc w:val="both"/>
      </w:pPr>
      <w:r>
        <w:t xml:space="preserve">A békéltető testület elnöke szerint az ügy egyszerű megítélésű, ezért az eljárás lefolytatására a fogyasztóvédelemről szóló 1997. évi CLV. törvény (a továbbiakban: Fgytv.) 25. § (4) bekezdése alapján egyedül eljáró testületi tagot jelölt ki. </w:t>
      </w:r>
      <w:r w:rsidR="00BC5E5D">
        <w:t>A meghallgatás 2015</w:t>
      </w:r>
      <w:r w:rsidR="00E92871">
        <w:t>. július 8</w:t>
      </w:r>
      <w:r>
        <w:t>-i időpontjáról a feleket az Fgytv. 29. §</w:t>
      </w:r>
      <w:proofErr w:type="spellStart"/>
      <w:r>
        <w:t>-ában</w:t>
      </w:r>
      <w:proofErr w:type="spellEnd"/>
      <w:r>
        <w:t xml:space="preserve"> foglaltaknak megfelelően értesítette. Az értesítésben közölte a felekkel a kijelölt eljáró testületi tag személyét, és felhívta a felek figyelmét arra, hogy az Fgytv. 25. § (4) </w:t>
      </w:r>
      <w:r>
        <w:lastRenderedPageBreak/>
        <w:t>bekezdésében meghatározottak szerint nyolc napon belül kérhetik, hogy a testület háromtagú tanácsban járjon el. A felek határidőben ez irányú kérelmet nem terjesztettek elő.</w:t>
      </w:r>
    </w:p>
    <w:p w:rsidR="007B4A69" w:rsidRDefault="007B4A69" w:rsidP="007B4A69">
      <w:pPr>
        <w:tabs>
          <w:tab w:val="left" w:pos="6096"/>
        </w:tabs>
        <w:jc w:val="both"/>
      </w:pPr>
    </w:p>
    <w:p w:rsidR="007B4A69" w:rsidRDefault="007B4A69" w:rsidP="007B4A69">
      <w:pPr>
        <w:tabs>
          <w:tab w:val="left" w:pos="6096"/>
        </w:tabs>
        <w:jc w:val="both"/>
      </w:pPr>
      <w:r>
        <w:t>Az értesítésben a békéltető testület elnöke a vállalkozást felszólította, hogy az értesítés részére történt kézbesítésétől számított nyolc napon belül írásban nyilatkozzék (válaszirat) a fogyasztó igényének jogosságát és az ügy körülményeit, valamint a tanács döntésének kötelezésként történő elfogadását (alávetés) illetően, nyilatkozatában jelölje meg az állításait alátámasztó tényeket és azok bizonyítékait, illetve csatolja azokat az okiratokat (ezek másolatát), amelyek tartalmára bizonyítékként hivatkozik. Figyelmeztette a vállalkozást, hogy az ügy érdemére vonatkozó nyilatkozattételének elmaradása esetén a tanács a rendelkezésére álló adatok alapján határoz.</w:t>
      </w:r>
    </w:p>
    <w:p w:rsidR="007B4A69" w:rsidRDefault="007B4A69" w:rsidP="007B4A69">
      <w:pPr>
        <w:tabs>
          <w:tab w:val="left" w:pos="6096"/>
        </w:tabs>
        <w:jc w:val="both"/>
      </w:pPr>
    </w:p>
    <w:p w:rsidR="00A26736" w:rsidRDefault="00A26736" w:rsidP="00840ED4">
      <w:pPr>
        <w:tabs>
          <w:tab w:val="left" w:pos="6096"/>
        </w:tabs>
        <w:jc w:val="both"/>
      </w:pPr>
      <w:r w:rsidRPr="00C117AB">
        <w:t xml:space="preserve">A vállalkozás </w:t>
      </w:r>
      <w:r w:rsidR="0066306E">
        <w:t>válaszirata 2015. június 10</w:t>
      </w:r>
      <w:r>
        <w:t xml:space="preserve">-én érkezett meg a Budapesti Békéltető Testülethez, melyben </w:t>
      </w:r>
      <w:r w:rsidR="0066306E">
        <w:t>megismételte, hogy a nyilvántartásuk szerint a bérletszelvény érvényessége 2015. január 30-án lejárt, ezért annak a meghosszabbítása technikailag nem volt lehetséges. Bármilyen érdemi vizsgálat lefolytatására csak akkor lett volna ha</w:t>
      </w:r>
      <w:r w:rsidR="003D290A">
        <w:t>jlandó, ha a fogyasztó</w:t>
      </w:r>
      <w:r w:rsidR="0066306E">
        <w:t xml:space="preserve"> megküldte volna az eredeti szelvényt. </w:t>
      </w:r>
      <w:r w:rsidR="006C3F2B">
        <w:t>A vállalkozás alávetési nyilatkozatot nem tett.</w:t>
      </w:r>
    </w:p>
    <w:p w:rsidR="00F2629E" w:rsidRDefault="00F2629E" w:rsidP="00F2629E">
      <w:pPr>
        <w:tabs>
          <w:tab w:val="left" w:pos="6096"/>
        </w:tabs>
        <w:jc w:val="both"/>
      </w:pPr>
    </w:p>
    <w:p w:rsidR="00A26736" w:rsidRDefault="00A26736" w:rsidP="00A26736">
      <w:pPr>
        <w:tabs>
          <w:tab w:val="center" w:pos="6237"/>
        </w:tabs>
        <w:jc w:val="both"/>
      </w:pPr>
      <w:r w:rsidRPr="001860A2">
        <w:t>A szabályszerű értesítés ellenére a meghallgatáson a vállalkozás nem jelent meg, csak a fogyasztó, aki az eljáró tanács tagjával szemben kifogást, kizárási indítványt nem terjesztett elő. Az eljáró tanács megállapította, hogy a vállalkozás értesítése szabályos volt, az eljárásról és a meghallgatás időpontjáról szóló ér</w:t>
      </w:r>
      <w:r>
        <w:t>tes</w:t>
      </w:r>
      <w:r w:rsidR="0066306E">
        <w:t>ítést képviselője 2015. június 3-á</w:t>
      </w:r>
      <w:r w:rsidRPr="001860A2">
        <w:t>n átvette.</w:t>
      </w:r>
    </w:p>
    <w:p w:rsidR="00A26736" w:rsidRDefault="00A26736" w:rsidP="00F2629E">
      <w:pPr>
        <w:tabs>
          <w:tab w:val="left" w:pos="6096"/>
        </w:tabs>
        <w:jc w:val="both"/>
      </w:pPr>
    </w:p>
    <w:p w:rsidR="00F2629E" w:rsidRDefault="00F2629E" w:rsidP="00F2629E">
      <w:pPr>
        <w:tabs>
          <w:tab w:val="left" w:pos="6096"/>
        </w:tabs>
        <w:jc w:val="both"/>
      </w:pPr>
      <w:r>
        <w:t xml:space="preserve">Az Fgytv. 31. § (2) bekezdése szerint az eljáró tanács a felek távollétében is hozhat határozatot: </w:t>
      </w:r>
      <w:r w:rsidRPr="00871AB9">
        <w:rPr>
          <w:i/>
        </w:rPr>
        <w:t>„Ha a meghallgatáson bármelyik fél szabályszerű értesítés ellenére nem jelenik meg, vagy nem terjeszti elő bizonyítékait, a tanács lefolytatja az eljárást, és a rendelkezésre álló adatok alapján dönt.</w:t>
      </w:r>
      <w:r>
        <w:rPr>
          <w:i/>
        </w:rPr>
        <w:t xml:space="preserve">”. </w:t>
      </w:r>
    </w:p>
    <w:p w:rsidR="00F2629E" w:rsidRDefault="00F2629E" w:rsidP="00F2629E">
      <w:pPr>
        <w:jc w:val="both"/>
      </w:pPr>
    </w:p>
    <w:p w:rsidR="00417264" w:rsidRDefault="00F2629E" w:rsidP="00F2629E">
      <w:pPr>
        <w:tabs>
          <w:tab w:val="left" w:pos="6804"/>
        </w:tabs>
        <w:jc w:val="both"/>
      </w:pPr>
      <w:r w:rsidRPr="008C4265">
        <w:t xml:space="preserve">A meghallgatáson a fogyasztó </w:t>
      </w:r>
      <w:r w:rsidR="006C3F2B">
        <w:t xml:space="preserve">jelezte, hogy a vállalkozás </w:t>
      </w:r>
      <w:r w:rsidR="003D290A">
        <w:t>munkatársai több alkalommal is megvizsgálhatták az eredeti szelvényt (március 4-én és 5-én), ezért nem érti, hogy miért és hova kellett volna még azt elküldenie. A fogyasztó bemutatta a hajdúszoboszlói kezelésének 2015. március 13-án kiállított kezelőlapját, melyben az utolsó kezelés dátuma március 21-e volt.</w:t>
      </w:r>
    </w:p>
    <w:p w:rsidR="00840ED4" w:rsidRDefault="00840ED4" w:rsidP="00F2629E">
      <w:pPr>
        <w:tabs>
          <w:tab w:val="left" w:pos="6804"/>
        </w:tabs>
        <w:jc w:val="both"/>
      </w:pPr>
    </w:p>
    <w:p w:rsidR="003D290A" w:rsidRDefault="003D290A" w:rsidP="00747C38">
      <w:pPr>
        <w:tabs>
          <w:tab w:val="left" w:pos="6804"/>
        </w:tabs>
        <w:jc w:val="both"/>
      </w:pPr>
      <w:r>
        <w:t xml:space="preserve">Az eljáró tanács megállapította, hogy a Budapesti Közlekedési Központ </w:t>
      </w:r>
      <w:proofErr w:type="spellStart"/>
      <w:r>
        <w:t>Zrt</w:t>
      </w:r>
      <w:proofErr w:type="spellEnd"/>
      <w:r>
        <w:t xml:space="preserve">. </w:t>
      </w:r>
      <w:r w:rsidR="00747C38">
        <w:t>Üzletszabályzatának mellékleteként kiadott 2015. január 1-jétől érvényes díjszabása tartalmazza a különböző bérlettípusokhoz kapcsolódó jogosultságokat:</w:t>
      </w:r>
    </w:p>
    <w:p w:rsidR="00747C38" w:rsidRDefault="00747C38" w:rsidP="00747C38">
      <w:pPr>
        <w:tabs>
          <w:tab w:val="left" w:pos="6804"/>
        </w:tabs>
        <w:jc w:val="both"/>
      </w:pPr>
      <w:r w:rsidRPr="00747C38">
        <w:rPr>
          <w:i/>
        </w:rPr>
        <w:t>„1.4. A különböző havi bérletek (budapesti, környéki, hév) tetszőleges kezdőnappal válthatóak, érvénytartamuk egy hónap.”</w:t>
      </w:r>
      <w:r>
        <w:t xml:space="preserve"> (…)</w:t>
      </w:r>
    </w:p>
    <w:p w:rsidR="00747C38" w:rsidRPr="00747C38" w:rsidRDefault="00747C38" w:rsidP="00747C38">
      <w:pPr>
        <w:tabs>
          <w:tab w:val="left" w:pos="6804"/>
        </w:tabs>
        <w:jc w:val="both"/>
        <w:rPr>
          <w:i/>
        </w:rPr>
      </w:pPr>
      <w:r w:rsidRPr="00747C38">
        <w:rPr>
          <w:i/>
        </w:rPr>
        <w:t xml:space="preserve">„1.5. A kiegészítő heti bérlet az 1.3. és 1.4. a) pontban szereplő Budapest-bérletek teljes </w:t>
      </w:r>
      <w:proofErr w:type="gramStart"/>
      <w:r w:rsidRPr="00747C38">
        <w:rPr>
          <w:i/>
        </w:rPr>
        <w:t>árú</w:t>
      </w:r>
      <w:proofErr w:type="gramEnd"/>
      <w:r w:rsidRPr="00747C38">
        <w:rPr>
          <w:i/>
        </w:rPr>
        <w:t xml:space="preserve"> változataihoz váltható, a vásárlás azok érvényességi idején belül történhet. Vásárlásához a negyedéves vagy havi bérletszelvényt a pénztárban le kell adni. A kiegészítő heti bérlet érvényessége a vásárlás időpontjában kezdődik és a leadott bérletszelvényen jelölt lejárati napot követő nyolcadik nap 02 óráig tart. A társszolgáltatók által a saját rendszerükben kiadott bérletekhez nem váltható.</w:t>
      </w:r>
    </w:p>
    <w:p w:rsidR="00747C38" w:rsidRDefault="00747C38" w:rsidP="00747C38">
      <w:pPr>
        <w:tabs>
          <w:tab w:val="left" w:pos="6804"/>
        </w:tabs>
        <w:jc w:val="both"/>
      </w:pPr>
      <w:r w:rsidRPr="00747C38">
        <w:rPr>
          <w:i/>
        </w:rPr>
        <w:t xml:space="preserve">Használata igazolványhoz kötött: a bérlet csak érvényes általános bérletigazolvánnyal, a Volánbusz </w:t>
      </w:r>
      <w:proofErr w:type="spellStart"/>
      <w:r w:rsidRPr="00747C38">
        <w:rPr>
          <w:i/>
        </w:rPr>
        <w:t>Zrt</w:t>
      </w:r>
      <w:proofErr w:type="spellEnd"/>
      <w:r w:rsidRPr="00747C38">
        <w:rPr>
          <w:i/>
        </w:rPr>
        <w:t xml:space="preserve">. által kiadott, érvényes </w:t>
      </w:r>
      <w:proofErr w:type="spellStart"/>
      <w:r w:rsidRPr="00747C38">
        <w:rPr>
          <w:i/>
        </w:rPr>
        <w:t>Volán-BKSZ</w:t>
      </w:r>
      <w:proofErr w:type="spellEnd"/>
      <w:r w:rsidRPr="00747C38">
        <w:rPr>
          <w:i/>
        </w:rPr>
        <w:t xml:space="preserve"> bérletigazolvánnyal, személyi igazolvánnyal vagy kártya formátumú jogosítvánnyal használható.”</w:t>
      </w:r>
    </w:p>
    <w:p w:rsidR="003D290A" w:rsidRDefault="003D290A" w:rsidP="00F2629E">
      <w:pPr>
        <w:tabs>
          <w:tab w:val="left" w:pos="6804"/>
        </w:tabs>
        <w:jc w:val="both"/>
      </w:pPr>
    </w:p>
    <w:p w:rsidR="00747C38" w:rsidRDefault="00747C38" w:rsidP="00E26D1D">
      <w:pPr>
        <w:tabs>
          <w:tab w:val="left" w:pos="6804"/>
        </w:tabs>
        <w:jc w:val="both"/>
      </w:pPr>
      <w:r>
        <w:t>A vállalkozás üzletszabályzata szerint tehát nincs olyan, a számítógépes nyilvántartásban szereplő kitétel, ami alapján jogszerűen lehetne korlátozni az 1.4. pontban szereplő havibérlethez kapcsolódó 1.5. szerinti kiegészítő heti bérlet kiváltását</w:t>
      </w:r>
      <w:r w:rsidR="00EC7B17">
        <w:t xml:space="preserve">, az üzletszabályzat is </w:t>
      </w:r>
      <w:r w:rsidR="00EC7B17" w:rsidRPr="00EC7B17">
        <w:rPr>
          <w:i/>
        </w:rPr>
        <w:t xml:space="preserve">„a leadott bérletszelvényen jelölt </w:t>
      </w:r>
      <w:r w:rsidR="00EC7B17" w:rsidRPr="00EC7B17">
        <w:rPr>
          <w:i/>
        </w:rPr>
        <w:lastRenderedPageBreak/>
        <w:t>lejárati napot</w:t>
      </w:r>
      <w:r w:rsidR="00EC7B17">
        <w:t>” megfogalmazást használja, nem pedig a bérleteket nyilvántartó rendszer adatairól</w:t>
      </w:r>
      <w:bookmarkStart w:id="0" w:name="_GoBack"/>
      <w:bookmarkEnd w:id="0"/>
      <w:r>
        <w:t>. A vállalkozás munkatársa helytelenül járt el, mivel a saját érdekkörében felmerült számítógépes hiba miatt a fogyasztót büntette, aki nyilvánvalóan nem tehetett arról.</w:t>
      </w:r>
      <w:r w:rsidR="0090471A">
        <w:t xml:space="preserve"> A fogyasztó így nem tudta kihasználni azt a jogosultságot, ami egyébként a havi bérlethez kapcsolódik. Kénytelen volt újabb havi bérletet vásárolni, pedig tisztában volt azzal, hogy március 13. és 22. között vidéken fog tartózkodni, így a bérletet nem tudja használni.</w:t>
      </w:r>
      <w:r>
        <w:t xml:space="preserve"> A fogyasztó az eljáró tanács előtt hitelt érdemlően bizonyította, hogy az elmúlt hónapokban is rendelkezett havi bérletekkel, ezért a bérlet hamisítás nem állt volna érdekében attól a naptól, ahogy a vállalkozás számítógépes nyilvántartásában szerepel a bérletszelvény érvényessége.</w:t>
      </w:r>
      <w:r w:rsidR="0090471A">
        <w:t xml:space="preserve"> A fogyasztó a bemutatott és az aktához csatolt kezelőlappal alátámasztotta, hogy az érintett időszakban tényleg Hajdúszoboszlón tartózkodott.</w:t>
      </w:r>
    </w:p>
    <w:p w:rsidR="00747C38" w:rsidRDefault="00747C38" w:rsidP="00E26D1D">
      <w:pPr>
        <w:tabs>
          <w:tab w:val="left" w:pos="6804"/>
        </w:tabs>
        <w:jc w:val="both"/>
      </w:pPr>
    </w:p>
    <w:p w:rsidR="0090471A" w:rsidRPr="0090471A" w:rsidRDefault="0090471A" w:rsidP="0090471A">
      <w:pPr>
        <w:tabs>
          <w:tab w:val="num" w:pos="0"/>
        </w:tabs>
        <w:suppressAutoHyphens/>
        <w:autoSpaceDE w:val="0"/>
        <w:jc w:val="both"/>
        <w:outlineLvl w:val="0"/>
        <w:rPr>
          <w:bCs/>
          <w:iCs/>
          <w:lang w:eastAsia="ar-SA"/>
        </w:rPr>
      </w:pPr>
      <w:r w:rsidRPr="0090471A">
        <w:rPr>
          <w:bCs/>
          <w:iCs/>
          <w:lang w:eastAsia="ar-SA"/>
        </w:rPr>
        <w:t>Az irányadó jogszabály, a Polgári Törvénykönyvről szóló 2013. évi V. törvény (a továbbiakban Ptk.) 6:157. §</w:t>
      </w:r>
      <w:r>
        <w:rPr>
          <w:bCs/>
          <w:iCs/>
          <w:lang w:eastAsia="ar-SA"/>
        </w:rPr>
        <w:t xml:space="preserve"> (1) bekezdése</w:t>
      </w:r>
      <w:r w:rsidRPr="0090471A">
        <w:rPr>
          <w:bCs/>
          <w:iCs/>
          <w:lang w:eastAsia="ar-SA"/>
        </w:rPr>
        <w:t xml:space="preserve"> határozza meg, mi tekinthető hibás teljesítésnek:</w:t>
      </w:r>
    </w:p>
    <w:p w:rsidR="0090471A" w:rsidRPr="0090471A" w:rsidRDefault="0090471A" w:rsidP="0090471A">
      <w:pPr>
        <w:tabs>
          <w:tab w:val="num" w:pos="0"/>
        </w:tabs>
        <w:suppressAutoHyphens/>
        <w:autoSpaceDE w:val="0"/>
        <w:jc w:val="both"/>
        <w:outlineLvl w:val="0"/>
        <w:rPr>
          <w:bCs/>
          <w:i/>
          <w:iCs/>
          <w:lang w:eastAsia="ar-SA"/>
        </w:rPr>
      </w:pPr>
      <w:r w:rsidRPr="0090471A">
        <w:rPr>
          <w:i/>
        </w:rPr>
        <w:t xml:space="preserve">„(1) A kötelezett hibásan teljesít, ha a szolgáltatás a teljesítés időpontjában nem felel meg a szerződésben vagy jogszabályban megállapított minőségi követelményeknek. Nem teljesít hibásan a kötelezett, ha a jogosult a hibát a szerződéskötés időpontjában ismerte, vagy a hibát a szerződéskötés </w:t>
      </w:r>
      <w:r>
        <w:rPr>
          <w:i/>
        </w:rPr>
        <w:t>időpontjában ismernie kellett.”</w:t>
      </w:r>
    </w:p>
    <w:p w:rsidR="0090471A" w:rsidRPr="0090471A" w:rsidRDefault="0090471A" w:rsidP="0090471A">
      <w:pPr>
        <w:tabs>
          <w:tab w:val="num" w:pos="0"/>
        </w:tabs>
        <w:suppressAutoHyphens/>
        <w:autoSpaceDE w:val="0"/>
        <w:jc w:val="both"/>
        <w:outlineLvl w:val="0"/>
        <w:rPr>
          <w:bCs/>
          <w:iCs/>
          <w:lang w:eastAsia="ar-SA"/>
        </w:rPr>
      </w:pPr>
    </w:p>
    <w:p w:rsidR="0090471A" w:rsidRPr="0090471A" w:rsidRDefault="0090471A" w:rsidP="0090471A">
      <w:pPr>
        <w:tabs>
          <w:tab w:val="num" w:pos="0"/>
        </w:tabs>
        <w:suppressAutoHyphens/>
        <w:autoSpaceDE w:val="0"/>
        <w:jc w:val="both"/>
        <w:outlineLvl w:val="0"/>
        <w:rPr>
          <w:bCs/>
          <w:lang w:eastAsia="ar-SA"/>
        </w:rPr>
      </w:pPr>
      <w:r w:rsidRPr="0090471A">
        <w:rPr>
          <w:bCs/>
          <w:lang w:eastAsia="ar-SA"/>
        </w:rPr>
        <w:t>A Ptk. 6:171. § pedig a jótállás szabályait rögzíti:</w:t>
      </w:r>
    </w:p>
    <w:p w:rsidR="0090471A" w:rsidRPr="0090471A" w:rsidRDefault="0090471A" w:rsidP="0090471A">
      <w:pPr>
        <w:tabs>
          <w:tab w:val="num" w:pos="0"/>
        </w:tabs>
        <w:suppressAutoHyphens/>
        <w:autoSpaceDE w:val="0"/>
        <w:jc w:val="both"/>
        <w:outlineLvl w:val="0"/>
        <w:rPr>
          <w:bCs/>
          <w:i/>
          <w:lang w:eastAsia="ar-SA"/>
        </w:rPr>
      </w:pPr>
      <w:r w:rsidRPr="0090471A">
        <w:rPr>
          <w:bCs/>
          <w:i/>
          <w:lang w:eastAsia="ar-SA"/>
        </w:rPr>
        <w:t>„(1) Aki a szerződés teljesítéséért jótállást vállal vagy jogszabály alapján jótállásra köteles, a jótállás időtartama alatt a jótállást keletkeztető jognyilatkozatban vagy jogszabályban foglalt feltételek szerint köteles helytállni a hibás teljesítésért. Mentesül a jótállási kötelezettség alól, ha bizonyítja, hogy a hiba oka a teljesítés után keletkezett.”</w:t>
      </w:r>
    </w:p>
    <w:p w:rsidR="0090471A" w:rsidRPr="0090471A" w:rsidRDefault="0090471A" w:rsidP="0090471A">
      <w:pPr>
        <w:tabs>
          <w:tab w:val="num" w:pos="0"/>
        </w:tabs>
        <w:suppressAutoHyphens/>
        <w:autoSpaceDE w:val="0"/>
        <w:jc w:val="both"/>
        <w:outlineLvl w:val="0"/>
        <w:rPr>
          <w:bCs/>
          <w:iCs/>
          <w:lang w:eastAsia="ar-SA"/>
        </w:rPr>
      </w:pPr>
    </w:p>
    <w:p w:rsidR="0090471A" w:rsidRPr="0090471A" w:rsidRDefault="0090471A" w:rsidP="0090471A">
      <w:pPr>
        <w:tabs>
          <w:tab w:val="num" w:pos="0"/>
        </w:tabs>
        <w:suppressAutoHyphens/>
        <w:autoSpaceDE w:val="0"/>
        <w:jc w:val="both"/>
        <w:outlineLvl w:val="0"/>
        <w:rPr>
          <w:bCs/>
          <w:iCs/>
          <w:lang w:eastAsia="ar-SA"/>
        </w:rPr>
      </w:pPr>
      <w:r w:rsidRPr="0090471A">
        <w:rPr>
          <w:bCs/>
          <w:iCs/>
          <w:lang w:eastAsia="ar-SA"/>
        </w:rPr>
        <w:t>A vállalkozás akkor mentesülne jótállási kötelezettsége alól, ha bizonyította volna, hogy a termék nem hibás, illetve a hiba (a hiba oka) a teljesítés után keletkezett.</w:t>
      </w:r>
      <w:r>
        <w:rPr>
          <w:bCs/>
          <w:iCs/>
          <w:lang w:eastAsia="ar-SA"/>
        </w:rPr>
        <w:t xml:space="preserve"> </w:t>
      </w:r>
      <w:r w:rsidRPr="0090471A">
        <w:rPr>
          <w:bCs/>
          <w:iCs/>
          <w:lang w:eastAsia="ar-SA"/>
        </w:rPr>
        <w:t xml:space="preserve">Ezen bizonyítási kötelezettségének a vállalkozás nem tett eleget, nem csatolt független szakvéleményt a hiba okának bizonyítására, </w:t>
      </w:r>
      <w:r>
        <w:rPr>
          <w:bCs/>
          <w:iCs/>
          <w:lang w:eastAsia="ar-SA"/>
        </w:rPr>
        <w:t>pedig munkatársai több alkalommal is megvizsgálhatták a bérletszelvényt.</w:t>
      </w:r>
    </w:p>
    <w:p w:rsidR="0090471A" w:rsidRPr="0090471A" w:rsidRDefault="0090471A" w:rsidP="0090471A">
      <w:pPr>
        <w:tabs>
          <w:tab w:val="num" w:pos="0"/>
        </w:tabs>
        <w:suppressAutoHyphens/>
        <w:autoSpaceDE w:val="0"/>
        <w:jc w:val="both"/>
        <w:outlineLvl w:val="0"/>
        <w:rPr>
          <w:bCs/>
          <w:iCs/>
          <w:lang w:eastAsia="ar-SA"/>
        </w:rPr>
      </w:pPr>
    </w:p>
    <w:p w:rsidR="0090471A" w:rsidRPr="0090471A" w:rsidRDefault="0090471A" w:rsidP="0090471A">
      <w:pPr>
        <w:tabs>
          <w:tab w:val="left" w:pos="6804"/>
        </w:tabs>
        <w:suppressAutoHyphens/>
        <w:jc w:val="both"/>
        <w:rPr>
          <w:lang w:eastAsia="ar-SA"/>
        </w:rPr>
      </w:pPr>
      <w:r w:rsidRPr="0090471A">
        <w:rPr>
          <w:lang w:eastAsia="ar-SA"/>
        </w:rPr>
        <w:t xml:space="preserve">A békéltető testület eljárása során is a szabad bizonyítás elve érvényesül, így a felek alakszerű bizonyítási szabályokhoz, a bizonyítás meghatározott módjához vagy meghatározott bizonyítási eszközök alkalmazásához nincsenek kötve. Az eljáró tanács szabadon felhasználhatja a felek előadásait, valamint felhasználhat minden egyéb bizonyítékot, amely a tényállás kiderítésére alkalmas. A felek nyilatkozatai egyenrangúak, azaz e nyilatkozatok közötti ellentmondás feloldására más bizonyítás is szükséges. A fogyasztói jogvitákban jogi vélelem hiányában az ügy eldöntéséhez szükséges tényeket általában annak kell bizonyítania, akinek érdekében áll, hogy az eljáró tanács azokat valónak fogadja el. Jogi vélelem esetén a kimentésről annak kell gondoskodnia, akinek a vélelem megdöntéséhez érdeke fűződik. </w:t>
      </w:r>
    </w:p>
    <w:p w:rsidR="0090471A" w:rsidRPr="0090471A" w:rsidRDefault="0090471A" w:rsidP="0090471A">
      <w:pPr>
        <w:suppressAutoHyphens/>
        <w:jc w:val="both"/>
        <w:rPr>
          <w:lang w:eastAsia="ar-SA"/>
        </w:rPr>
      </w:pPr>
    </w:p>
    <w:p w:rsidR="0090471A" w:rsidRPr="0090471A" w:rsidRDefault="0090471A" w:rsidP="0090471A">
      <w:pPr>
        <w:suppressAutoHyphens/>
        <w:jc w:val="both"/>
        <w:rPr>
          <w:lang w:eastAsia="ar-SA"/>
        </w:rPr>
      </w:pPr>
      <w:r w:rsidRPr="0090471A">
        <w:rPr>
          <w:lang w:eastAsia="ar-SA"/>
        </w:rPr>
        <w:t xml:space="preserve">Az Fgytv. 31. § (2) bekezdése szerint: </w:t>
      </w:r>
      <w:r w:rsidRPr="0090471A">
        <w:rPr>
          <w:i/>
          <w:lang w:eastAsia="ar-SA"/>
        </w:rPr>
        <w:t>„Ha a meghallgatáson bármelyik fél szabályszerű értesítés ellenére nem jelenik meg, vagy nem terjeszti elő bizonyítékait, a tanács lefolytatja az eljárást, és a rendelkezésre álló adatok alapján dönt.”</w:t>
      </w:r>
      <w:r w:rsidRPr="0090471A">
        <w:rPr>
          <w:lang w:eastAsia="ar-SA"/>
        </w:rPr>
        <w:t xml:space="preserve"> A vállalkozásnak tehát a meghallgatásig volt lehetősége a független szakvéleményt, mint bizonyítékot előterjeszteni.</w:t>
      </w:r>
    </w:p>
    <w:p w:rsidR="0090471A" w:rsidRDefault="0090471A" w:rsidP="00F2629E">
      <w:pPr>
        <w:tabs>
          <w:tab w:val="left" w:pos="6804"/>
        </w:tabs>
        <w:jc w:val="both"/>
      </w:pPr>
    </w:p>
    <w:p w:rsidR="0090471A" w:rsidRDefault="0090471A" w:rsidP="00F2629E">
      <w:pPr>
        <w:tabs>
          <w:tab w:val="left" w:pos="6804"/>
        </w:tabs>
        <w:jc w:val="both"/>
      </w:pPr>
      <w:r>
        <w:t>A vállalkozás hibás teljesítéséből fakadóan a fogyasztót kár érte, vásárolnia kellett egy olyan bérletszelvényt 9.500 Ft-ért, amelyet</w:t>
      </w:r>
      <w:r w:rsidR="00A55044">
        <w:t xml:space="preserve"> a 30 napból 10 napig nem tudott használni, vagyis a vételár egyharmadát jogosan követelheti vissza.</w:t>
      </w:r>
    </w:p>
    <w:p w:rsidR="0090471A" w:rsidRDefault="0090471A" w:rsidP="00F2629E">
      <w:pPr>
        <w:tabs>
          <w:tab w:val="left" w:pos="6804"/>
        </w:tabs>
        <w:jc w:val="both"/>
      </w:pPr>
    </w:p>
    <w:p w:rsidR="0090471A" w:rsidRPr="0090471A" w:rsidRDefault="0090471A" w:rsidP="00F2629E">
      <w:pPr>
        <w:tabs>
          <w:tab w:val="left" w:pos="6804"/>
        </w:tabs>
        <w:jc w:val="both"/>
        <w:rPr>
          <w:i/>
        </w:rPr>
      </w:pPr>
      <w:r>
        <w:t>Az eljáró tanács a rendelkező részben foglalt határozatot hozta és ajánlásában hívta fel a vállalkozást, hogy a kézhezvétel</w:t>
      </w:r>
      <w:r w:rsidRPr="003D290A">
        <w:t>t követő 15 napon belül fizesse</w:t>
      </w:r>
      <w:r>
        <w:t>n</w:t>
      </w:r>
      <w:r w:rsidRPr="003D290A">
        <w:t xml:space="preserve"> vissza a fogyasztónak 3.166 Ft-ot</w:t>
      </w:r>
      <w:r>
        <w:t>.</w:t>
      </w:r>
    </w:p>
    <w:p w:rsidR="0090471A" w:rsidRDefault="0090471A" w:rsidP="00F2629E">
      <w:pPr>
        <w:tabs>
          <w:tab w:val="left" w:pos="6804"/>
        </w:tabs>
        <w:jc w:val="both"/>
      </w:pPr>
    </w:p>
    <w:p w:rsidR="00F2629E" w:rsidRPr="00F369F9" w:rsidRDefault="00F2629E" w:rsidP="00F2629E">
      <w:pPr>
        <w:autoSpaceDE w:val="0"/>
        <w:jc w:val="both"/>
      </w:pPr>
      <w:r w:rsidRPr="00F369F9">
        <w:t>A tanács ajánlása elleni fellebbezés lehetőségét az Fgytv. 34. § (2) bekezdése zárja ki. Azonban a fél az Fgytv 34. § (3) bekezdése alapján</w:t>
      </w:r>
      <w:r w:rsidRPr="00F369F9">
        <w:rPr>
          <w:i/>
        </w:rPr>
        <w:t xml:space="preserve"> </w:t>
      </w:r>
      <w:r w:rsidRPr="00F369F9">
        <w:t xml:space="preserve">az ajánlás részére történt kézbesítésétől számított tizenöt napon belül keresettel annak hatályon kívül helyezését kérheti a Fővárosi </w:t>
      </w:r>
      <w:r>
        <w:t>Törvényszéktől</w:t>
      </w:r>
      <w:r w:rsidRPr="00F369F9">
        <w:t xml:space="preserve"> (1055 Budapest, Markó u. 27. 1363 Bp. Pf. 16)</w:t>
      </w:r>
      <w:r w:rsidRPr="00F369F9">
        <w:rPr>
          <w:i/>
        </w:rPr>
        <w:t>,</w:t>
      </w:r>
      <w:r w:rsidRPr="00F369F9">
        <w:t xml:space="preserve"> amennyiben</w:t>
      </w:r>
    </w:p>
    <w:p w:rsidR="00F2629E" w:rsidRPr="00F369F9" w:rsidRDefault="00F2629E" w:rsidP="00F2629E">
      <w:pPr>
        <w:autoSpaceDE w:val="0"/>
        <w:jc w:val="both"/>
      </w:pPr>
      <w:proofErr w:type="gramStart"/>
      <w:r w:rsidRPr="00F369F9">
        <w:t>a</w:t>
      </w:r>
      <w:proofErr w:type="gramEnd"/>
      <w:r w:rsidRPr="00F369F9">
        <w:t>) a tanács összetétele vagy eljárása nem felelt meg e törvény rendelkezéseinek,</w:t>
      </w:r>
    </w:p>
    <w:p w:rsidR="00F2629E" w:rsidRPr="00F369F9" w:rsidRDefault="00F2629E" w:rsidP="00F2629E">
      <w:pPr>
        <w:autoSpaceDE w:val="0"/>
        <w:jc w:val="both"/>
      </w:pPr>
      <w:r w:rsidRPr="00F369F9">
        <w:t xml:space="preserve">b) a békéltető testületnek az Fgytv. 18. § (1) bekezdése alapján nem volt hatásköre az eljárásra,  </w:t>
      </w:r>
    </w:p>
    <w:p w:rsidR="00F2629E" w:rsidRPr="00F369F9" w:rsidRDefault="00F2629E" w:rsidP="00F2629E">
      <w:pPr>
        <w:autoSpaceDE w:val="0"/>
        <w:jc w:val="both"/>
      </w:pPr>
      <w:r w:rsidRPr="00F369F9">
        <w:t xml:space="preserve">c) a kérelem meghallgatás nélküli elutasításának lett volna helye, az Fgytv. 29. § (4) bekezdésében meghatározott okból </w:t>
      </w:r>
    </w:p>
    <w:p w:rsidR="00F2629E" w:rsidRPr="00F369F9" w:rsidRDefault="00F2629E" w:rsidP="00F2629E">
      <w:pPr>
        <w:autoSpaceDE w:val="0"/>
        <w:jc w:val="both"/>
        <w:rPr>
          <w:i/>
        </w:rPr>
      </w:pPr>
      <w:r w:rsidRPr="00F369F9">
        <w:t>Az Fgytv. 34. § (4) bekezdése szerint</w:t>
      </w:r>
      <w:r w:rsidRPr="00F369F9">
        <w:rPr>
          <w:i/>
        </w:rPr>
        <w:t xml:space="preserve"> „a vállalkozás az ajánlás hatályon kívül helyezését az említetteken túl akkor is kérheti a békéltető testület székhelye szerint illetékes </w:t>
      </w:r>
      <w:r>
        <w:rPr>
          <w:i/>
        </w:rPr>
        <w:t>törvényszéktől</w:t>
      </w:r>
      <w:r w:rsidRPr="00F369F9">
        <w:rPr>
          <w:i/>
        </w:rPr>
        <w:t xml:space="preserve">, ha az ajánlás tartalma nem felel meg a jogszabályoknak.” </w:t>
      </w:r>
    </w:p>
    <w:p w:rsidR="00F2629E" w:rsidRPr="00F369F9" w:rsidRDefault="00F2629E" w:rsidP="00F2629E">
      <w:pPr>
        <w:autoSpaceDE w:val="0"/>
        <w:jc w:val="both"/>
      </w:pPr>
      <w:r w:rsidRPr="00F369F9">
        <w:t>Az Fgytv. 34. § (5) bekezdése szerint a pert a Budapesti Békéltető Testülettel szemben kell megindítani.</w:t>
      </w:r>
    </w:p>
    <w:p w:rsidR="00F2629E" w:rsidRPr="00F369F9" w:rsidRDefault="00F2629E" w:rsidP="00F2629E">
      <w:pPr>
        <w:autoSpaceDE w:val="0"/>
        <w:ind w:firstLine="204"/>
        <w:jc w:val="both"/>
        <w:rPr>
          <w:i/>
        </w:rPr>
      </w:pPr>
    </w:p>
    <w:p w:rsidR="00F2629E" w:rsidRPr="00F369F9" w:rsidRDefault="00F2629E" w:rsidP="00F2629E">
      <w:pPr>
        <w:jc w:val="both"/>
      </w:pPr>
      <w:r w:rsidRPr="00F369F9">
        <w:t>Az Fgytv. 36. §</w:t>
      </w:r>
      <w:proofErr w:type="spellStart"/>
      <w:r w:rsidRPr="00F369F9">
        <w:t>-a</w:t>
      </w:r>
      <w:proofErr w:type="spellEnd"/>
      <w:r w:rsidRPr="00F369F9">
        <w:t xml:space="preserve"> (5) bekezdése szerint </w:t>
      </w:r>
      <w:r w:rsidRPr="00F369F9">
        <w:rPr>
          <w:i/>
        </w:rPr>
        <w:t>„a fogyasztó a határozattal jóváhagyott egyezség és a kötelezést tartalmazó határozat végrehajtásának, illetve az ajánlásban foglaltak követésének elmaradásáról köteles értesíteni a békéltető testületet.”</w:t>
      </w:r>
    </w:p>
    <w:p w:rsidR="00F2629E" w:rsidRPr="00F369F9" w:rsidRDefault="00F2629E" w:rsidP="00F2629E">
      <w:pPr>
        <w:jc w:val="both"/>
        <w:rPr>
          <w:i/>
        </w:rPr>
      </w:pPr>
    </w:p>
    <w:p w:rsidR="00F2629E" w:rsidRPr="003D6152" w:rsidRDefault="00F2629E" w:rsidP="00F2629E">
      <w:pPr>
        <w:autoSpaceDE w:val="0"/>
        <w:jc w:val="both"/>
      </w:pPr>
      <w:r w:rsidRPr="003D6152">
        <w:t xml:space="preserve">Az eljáró tanács figyelmezteti a vállalkozást, az Fgytv </w:t>
      </w:r>
      <w:r w:rsidRPr="003D6152">
        <w:rPr>
          <w:bCs/>
        </w:rPr>
        <w:t xml:space="preserve">36. § </w:t>
      </w:r>
      <w:r w:rsidRPr="003D6152">
        <w:t xml:space="preserve">(1) bekezdésében foglaltakra: </w:t>
      </w:r>
      <w:r>
        <w:t>„</w:t>
      </w:r>
      <w:r w:rsidRPr="003D6152">
        <w:rPr>
          <w:i/>
        </w:rPr>
        <w:t xml:space="preserve">ha a tanács ajánlásának nem tesz eleget, a békéltető testület - a fogyasztó nevének megjelölése nélkül a jogvita tartalmának rövid leírását és az eljárás eredményét - legkorábban az ajánlásnak a vállalkozás részére történt kézbesítésétől számított hatvan nap elteltével - nyilvánosságra </w:t>
      </w:r>
      <w:r>
        <w:rPr>
          <w:i/>
          <w:color w:val="000000"/>
        </w:rPr>
        <w:t>hozza”.</w:t>
      </w:r>
    </w:p>
    <w:p w:rsidR="00F2629E" w:rsidRDefault="00F2629E" w:rsidP="00F2629E">
      <w:pPr>
        <w:autoSpaceDE w:val="0"/>
        <w:jc w:val="both"/>
        <w:rPr>
          <w:color w:val="000000"/>
        </w:rPr>
      </w:pPr>
    </w:p>
    <w:p w:rsidR="00F2629E" w:rsidRDefault="00F2629E" w:rsidP="00F2629E">
      <w:pPr>
        <w:jc w:val="both"/>
      </w:pPr>
      <w:r>
        <w:t>Az eljáró tanács felhívj</w:t>
      </w:r>
      <w:r w:rsidRPr="00E37C36">
        <w:t xml:space="preserve">a a felek figyelmét arra, hogy az Fgytv. 30. § (3) bekezdése szerint: </w:t>
      </w:r>
      <w:r w:rsidRPr="00E37C36">
        <w:rPr>
          <w:i/>
        </w:rPr>
        <w:t>„Az eljárás nem nyilvános, kivéve, ha az eljárás nyilvánosságához mindkét fél hozzájárul.”</w:t>
      </w:r>
      <w:r w:rsidRPr="00E37C36">
        <w:t xml:space="preserve"> Ezért a jelen döntésben szereplő személyes adatok, a felek és az eljáró tanács megnevezése, továbbá a döntés tartalma is csak jogszabályban meghatározott esetekben és módon hozható nyilvánosságra.</w:t>
      </w:r>
    </w:p>
    <w:p w:rsidR="00E17BC6" w:rsidRPr="00301469" w:rsidRDefault="00E17BC6" w:rsidP="00E17BC6">
      <w:pPr>
        <w:autoSpaceDE w:val="0"/>
        <w:jc w:val="both"/>
        <w:rPr>
          <w:color w:val="000000"/>
        </w:rPr>
      </w:pPr>
    </w:p>
    <w:p w:rsidR="00E17BC6" w:rsidRDefault="00E17BC6" w:rsidP="00E17BC6">
      <w:r>
        <w:t>Budapest, 201</w:t>
      </w:r>
      <w:r w:rsidR="00417264">
        <w:t>5. július 8.</w:t>
      </w:r>
    </w:p>
    <w:p w:rsidR="00E17BC6" w:rsidRDefault="00E17BC6" w:rsidP="00E17BC6">
      <w:pPr>
        <w:rPr>
          <w:b/>
        </w:rPr>
      </w:pPr>
    </w:p>
    <w:p w:rsidR="00E17BC6" w:rsidRDefault="003D6152" w:rsidP="00E17BC6">
      <w:pPr>
        <w:tabs>
          <w:tab w:val="center" w:pos="6237"/>
        </w:tabs>
        <w:rPr>
          <w:b/>
        </w:rPr>
      </w:pPr>
      <w:r>
        <w:rPr>
          <w:b/>
        </w:rPr>
        <w:tab/>
        <w:t>Dr. Lékó Zoltán</w:t>
      </w:r>
    </w:p>
    <w:p w:rsidR="00E17BC6" w:rsidRDefault="00E17BC6" w:rsidP="00E17BC6">
      <w:pPr>
        <w:tabs>
          <w:tab w:val="center" w:pos="6237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eljáró</w:t>
      </w:r>
      <w:proofErr w:type="gramEnd"/>
      <w:r>
        <w:rPr>
          <w:b/>
        </w:rPr>
        <w:t xml:space="preserve"> tanács elnöke</w:t>
      </w:r>
    </w:p>
    <w:p w:rsidR="00E17BC6" w:rsidRDefault="00E17BC6" w:rsidP="00E17BC6">
      <w:pPr>
        <w:tabs>
          <w:tab w:val="center" w:pos="6237"/>
        </w:tabs>
      </w:pPr>
      <w:r>
        <w:t>Kapják:</w:t>
      </w:r>
    </w:p>
    <w:p w:rsidR="00E17BC6" w:rsidRDefault="00E17BC6" w:rsidP="00E17BC6">
      <w:pPr>
        <w:numPr>
          <w:ilvl w:val="0"/>
          <w:numId w:val="2"/>
        </w:numPr>
        <w:tabs>
          <w:tab w:val="left" w:pos="360"/>
          <w:tab w:val="center" w:pos="6237"/>
        </w:tabs>
      </w:pPr>
      <w:r>
        <w:t xml:space="preserve">  Fogyasztó </w:t>
      </w:r>
    </w:p>
    <w:p w:rsidR="00E17BC6" w:rsidRDefault="00E17BC6" w:rsidP="00E17BC6">
      <w:pPr>
        <w:numPr>
          <w:ilvl w:val="0"/>
          <w:numId w:val="2"/>
        </w:numPr>
        <w:tabs>
          <w:tab w:val="left" w:pos="360"/>
          <w:tab w:val="center" w:pos="6237"/>
        </w:tabs>
      </w:pPr>
      <w:r>
        <w:t xml:space="preserve">  Vállalkozás</w:t>
      </w:r>
    </w:p>
    <w:p w:rsidR="00E17BC6" w:rsidRDefault="00E17BC6" w:rsidP="00E17BC6">
      <w:pPr>
        <w:tabs>
          <w:tab w:val="center" w:pos="6237"/>
        </w:tabs>
      </w:pPr>
      <w:r>
        <w:t>3.     Irattár</w:t>
      </w:r>
    </w:p>
    <w:p w:rsidR="00AA4C74" w:rsidRDefault="00AA4C74"/>
    <w:sectPr w:rsidR="00AA4C74" w:rsidSect="005C6082">
      <w:footerReference w:type="even" r:id="rId8"/>
      <w:footerReference w:type="default" r:id="rId9"/>
      <w:pgSz w:w="11905" w:h="16837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24" w:rsidRDefault="00A20D24">
      <w:r>
        <w:separator/>
      </w:r>
    </w:p>
  </w:endnote>
  <w:endnote w:type="continuationSeparator" w:id="0">
    <w:p w:rsidR="00A20D24" w:rsidRDefault="00A20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-Times New 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larendon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82" w:rsidRDefault="009A4AFA" w:rsidP="005C608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C608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C6082" w:rsidRDefault="005C608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82" w:rsidRDefault="009A4AFA" w:rsidP="005C608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C608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529AB">
      <w:rPr>
        <w:rStyle w:val="Oldalszm"/>
        <w:noProof/>
      </w:rPr>
      <w:t>4</w:t>
    </w:r>
    <w:r>
      <w:rPr>
        <w:rStyle w:val="Oldalszm"/>
      </w:rPr>
      <w:fldChar w:fldCharType="end"/>
    </w:r>
  </w:p>
  <w:p w:rsidR="005C6082" w:rsidRDefault="005C608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24" w:rsidRDefault="00A20D24">
      <w:r>
        <w:separator/>
      </w:r>
    </w:p>
  </w:footnote>
  <w:footnote w:type="continuationSeparator" w:id="0">
    <w:p w:rsidR="00A20D24" w:rsidRDefault="00A20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BC6"/>
    <w:rsid w:val="00020CFE"/>
    <w:rsid w:val="00024B7B"/>
    <w:rsid w:val="00025E5B"/>
    <w:rsid w:val="000368FF"/>
    <w:rsid w:val="000414A5"/>
    <w:rsid w:val="000C58C8"/>
    <w:rsid w:val="000E68DC"/>
    <w:rsid w:val="00113E98"/>
    <w:rsid w:val="001217F5"/>
    <w:rsid w:val="001463CD"/>
    <w:rsid w:val="00186CF7"/>
    <w:rsid w:val="00196A77"/>
    <w:rsid w:val="001C630E"/>
    <w:rsid w:val="001E029D"/>
    <w:rsid w:val="00215E81"/>
    <w:rsid w:val="002B6C5C"/>
    <w:rsid w:val="002C0FDD"/>
    <w:rsid w:val="002E4920"/>
    <w:rsid w:val="0034594A"/>
    <w:rsid w:val="00386740"/>
    <w:rsid w:val="003D290A"/>
    <w:rsid w:val="003D6152"/>
    <w:rsid w:val="00410EA2"/>
    <w:rsid w:val="0041587B"/>
    <w:rsid w:val="00417264"/>
    <w:rsid w:val="00420448"/>
    <w:rsid w:val="00453B26"/>
    <w:rsid w:val="00486308"/>
    <w:rsid w:val="004B10CE"/>
    <w:rsid w:val="004C6A89"/>
    <w:rsid w:val="0053366A"/>
    <w:rsid w:val="00554CB4"/>
    <w:rsid w:val="005855AE"/>
    <w:rsid w:val="005943E2"/>
    <w:rsid w:val="005C6082"/>
    <w:rsid w:val="005E5F2F"/>
    <w:rsid w:val="005F0A68"/>
    <w:rsid w:val="005F1F56"/>
    <w:rsid w:val="0066306E"/>
    <w:rsid w:val="00673CC8"/>
    <w:rsid w:val="006C3F2B"/>
    <w:rsid w:val="006F6225"/>
    <w:rsid w:val="006F7947"/>
    <w:rsid w:val="0073714B"/>
    <w:rsid w:val="00741077"/>
    <w:rsid w:val="00747C38"/>
    <w:rsid w:val="007618C0"/>
    <w:rsid w:val="00782C05"/>
    <w:rsid w:val="007B311F"/>
    <w:rsid w:val="007B4A69"/>
    <w:rsid w:val="008401BD"/>
    <w:rsid w:val="00840ED4"/>
    <w:rsid w:val="00846158"/>
    <w:rsid w:val="008529AB"/>
    <w:rsid w:val="008802F6"/>
    <w:rsid w:val="008C4265"/>
    <w:rsid w:val="008C6BC7"/>
    <w:rsid w:val="0090471A"/>
    <w:rsid w:val="00915B75"/>
    <w:rsid w:val="009672D4"/>
    <w:rsid w:val="00983092"/>
    <w:rsid w:val="009A4AFA"/>
    <w:rsid w:val="009F6549"/>
    <w:rsid w:val="00A20D24"/>
    <w:rsid w:val="00A26736"/>
    <w:rsid w:val="00A55044"/>
    <w:rsid w:val="00A802FB"/>
    <w:rsid w:val="00A92B71"/>
    <w:rsid w:val="00AA4C74"/>
    <w:rsid w:val="00AB2674"/>
    <w:rsid w:val="00AB3C6E"/>
    <w:rsid w:val="00B17D45"/>
    <w:rsid w:val="00B60789"/>
    <w:rsid w:val="00B74607"/>
    <w:rsid w:val="00BB6377"/>
    <w:rsid w:val="00BC5E5D"/>
    <w:rsid w:val="00BD0630"/>
    <w:rsid w:val="00C03A28"/>
    <w:rsid w:val="00C06167"/>
    <w:rsid w:val="00C64E0B"/>
    <w:rsid w:val="00C86622"/>
    <w:rsid w:val="00D24E6D"/>
    <w:rsid w:val="00E00F6E"/>
    <w:rsid w:val="00E07327"/>
    <w:rsid w:val="00E17BC6"/>
    <w:rsid w:val="00E26D1D"/>
    <w:rsid w:val="00E86848"/>
    <w:rsid w:val="00E92871"/>
    <w:rsid w:val="00EA3A50"/>
    <w:rsid w:val="00EC7B17"/>
    <w:rsid w:val="00F2629E"/>
    <w:rsid w:val="00F3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17BC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17BC6"/>
    <w:pPr>
      <w:keepNext/>
      <w:widowControl w:val="0"/>
      <w:numPr>
        <w:numId w:val="1"/>
      </w:numPr>
      <w:suppressAutoHyphens/>
      <w:jc w:val="center"/>
      <w:outlineLvl w:val="0"/>
    </w:pPr>
    <w:rPr>
      <w:rFonts w:eastAsia="Lucida Sans Unicode"/>
      <w:b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17BC6"/>
    <w:rPr>
      <w:rFonts w:eastAsia="Lucida Sans Unicode"/>
      <w:b/>
      <w:kern w:val="1"/>
      <w:sz w:val="24"/>
      <w:szCs w:val="24"/>
      <w:lang w:val="hu-HU" w:bidi="ar-SA"/>
    </w:rPr>
  </w:style>
  <w:style w:type="character" w:styleId="Hiperhivatkozs">
    <w:name w:val="Hyperlink"/>
    <w:rsid w:val="00E17BC6"/>
    <w:rPr>
      <w:color w:val="0000FF"/>
      <w:u w:val="single"/>
    </w:rPr>
  </w:style>
  <w:style w:type="paragraph" w:styleId="lfej">
    <w:name w:val="header"/>
    <w:basedOn w:val="Norml"/>
    <w:link w:val="lfejChar"/>
    <w:rsid w:val="00E17BC6"/>
    <w:pPr>
      <w:widowControl w:val="0"/>
      <w:tabs>
        <w:tab w:val="center" w:pos="4703"/>
        <w:tab w:val="right" w:pos="9406"/>
      </w:tabs>
      <w:suppressAutoHyphens/>
    </w:pPr>
    <w:rPr>
      <w:rFonts w:ascii="H-Times New Roman" w:eastAsia="Lucida Sans Unicode" w:hAnsi="H-Times New Roman"/>
      <w:kern w:val="1"/>
    </w:rPr>
  </w:style>
  <w:style w:type="character" w:customStyle="1" w:styleId="lfejChar">
    <w:name w:val="Élőfej Char"/>
    <w:link w:val="lfej"/>
    <w:rsid w:val="00E17BC6"/>
    <w:rPr>
      <w:rFonts w:ascii="H-Times New Roman" w:eastAsia="Lucida Sans Unicode" w:hAnsi="H-Times New Roman"/>
      <w:kern w:val="1"/>
      <w:sz w:val="24"/>
      <w:szCs w:val="24"/>
      <w:lang w:val="hu-HU" w:bidi="ar-SA"/>
    </w:rPr>
  </w:style>
  <w:style w:type="paragraph" w:styleId="llb">
    <w:name w:val="footer"/>
    <w:basedOn w:val="Norml"/>
    <w:link w:val="llbChar"/>
    <w:rsid w:val="00E17BC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17BC6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E17BC6"/>
  </w:style>
  <w:style w:type="paragraph" w:styleId="Buborkszveg">
    <w:name w:val="Balloon Text"/>
    <w:basedOn w:val="Norml"/>
    <w:link w:val="BuborkszvegChar"/>
    <w:rsid w:val="006F622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6F62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17BC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17BC6"/>
    <w:pPr>
      <w:keepNext/>
      <w:widowControl w:val="0"/>
      <w:numPr>
        <w:numId w:val="1"/>
      </w:numPr>
      <w:suppressAutoHyphens/>
      <w:jc w:val="center"/>
      <w:outlineLvl w:val="0"/>
    </w:pPr>
    <w:rPr>
      <w:rFonts w:eastAsia="Lucida Sans Unicode"/>
      <w:b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17BC6"/>
    <w:rPr>
      <w:rFonts w:eastAsia="Lucida Sans Unicode"/>
      <w:b/>
      <w:kern w:val="1"/>
      <w:sz w:val="24"/>
      <w:szCs w:val="24"/>
      <w:lang w:val="hu-HU" w:bidi="ar-SA"/>
    </w:rPr>
  </w:style>
  <w:style w:type="character" w:styleId="Hiperhivatkozs">
    <w:name w:val="Hyperlink"/>
    <w:rsid w:val="00E17BC6"/>
    <w:rPr>
      <w:color w:val="0000FF"/>
      <w:u w:val="single"/>
    </w:rPr>
  </w:style>
  <w:style w:type="paragraph" w:styleId="lfej">
    <w:name w:val="header"/>
    <w:basedOn w:val="Norml"/>
    <w:link w:val="lfejChar"/>
    <w:rsid w:val="00E17BC6"/>
    <w:pPr>
      <w:widowControl w:val="0"/>
      <w:tabs>
        <w:tab w:val="center" w:pos="4703"/>
        <w:tab w:val="right" w:pos="9406"/>
      </w:tabs>
      <w:suppressAutoHyphens/>
    </w:pPr>
    <w:rPr>
      <w:rFonts w:ascii="H-Times New Roman" w:eastAsia="Lucida Sans Unicode" w:hAnsi="H-Times New Roman"/>
      <w:kern w:val="1"/>
    </w:rPr>
  </w:style>
  <w:style w:type="character" w:customStyle="1" w:styleId="lfejChar">
    <w:name w:val="Élőfej Char"/>
    <w:link w:val="lfej"/>
    <w:rsid w:val="00E17BC6"/>
    <w:rPr>
      <w:rFonts w:ascii="H-Times New Roman" w:eastAsia="Lucida Sans Unicode" w:hAnsi="H-Times New Roman"/>
      <w:kern w:val="1"/>
      <w:sz w:val="24"/>
      <w:szCs w:val="24"/>
      <w:lang w:val="hu-HU" w:bidi="ar-SA"/>
    </w:rPr>
  </w:style>
  <w:style w:type="paragraph" w:styleId="llb">
    <w:name w:val="footer"/>
    <w:basedOn w:val="Norml"/>
    <w:link w:val="llbChar"/>
    <w:rsid w:val="00E17BC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17BC6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E17BC6"/>
  </w:style>
  <w:style w:type="paragraph" w:styleId="Buborkszveg">
    <w:name w:val="Balloon Text"/>
    <w:basedOn w:val="Norml"/>
    <w:link w:val="BuborkszvegChar"/>
    <w:rsid w:val="006F622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6F6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keltet&#246;.test&#252;let@bkik.h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1710</Words>
  <Characters>11210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Békéltető Testület</vt:lpstr>
    </vt:vector>
  </TitlesOfParts>
  <Company>Microsoft</Company>
  <LinksUpToDate>false</LinksUpToDate>
  <CharactersWithSpaces>12895</CharactersWithSpaces>
  <SharedDoc>false</SharedDoc>
  <HLinks>
    <vt:vector size="6" baseType="variant"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mailto:bekeltetö.testület@bkik.hu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Békéltető Testület</dc:title>
  <dc:creator>Dr. Kispál Edit</dc:creator>
  <cp:lastModifiedBy>BBT</cp:lastModifiedBy>
  <cp:revision>2</cp:revision>
  <cp:lastPrinted>2014-03-18T07:28:00Z</cp:lastPrinted>
  <dcterms:created xsi:type="dcterms:W3CDTF">2015-09-04T11:11:00Z</dcterms:created>
  <dcterms:modified xsi:type="dcterms:W3CDTF">2015-09-04T11:11:00Z</dcterms:modified>
</cp:coreProperties>
</file>